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EF02" w14:textId="77777777" w:rsidR="00EF6DDE" w:rsidRPr="00392968" w:rsidRDefault="00EF6DDE" w:rsidP="00392968">
      <w:pPr>
        <w:pStyle w:val="Bezodstpw"/>
        <w:spacing w:line="276" w:lineRule="auto"/>
        <w:jc w:val="center"/>
        <w:rPr>
          <w:rFonts w:cstheme="minorHAnsi"/>
          <w:b/>
          <w:bCs/>
          <w:sz w:val="24"/>
          <w:szCs w:val="24"/>
        </w:rPr>
      </w:pPr>
    </w:p>
    <w:p w14:paraId="7F2510F1" w14:textId="77777777"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C07D8FF" w14:textId="77777777" w:rsidR="00EE0442" w:rsidRPr="00392968" w:rsidRDefault="00EE0442" w:rsidP="00392968">
      <w:pPr>
        <w:pStyle w:val="Bezodstpw"/>
        <w:spacing w:line="276" w:lineRule="auto"/>
        <w:jc w:val="center"/>
        <w:rPr>
          <w:rFonts w:cstheme="minorHAnsi"/>
          <w:sz w:val="24"/>
          <w:szCs w:val="24"/>
        </w:rPr>
      </w:pPr>
    </w:p>
    <w:p w14:paraId="641C9AC2"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3869E270"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5120B3FC"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6EA5A775"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14:paraId="64161655"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3E63AB32" w14:textId="77777777"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9" w:history="1">
        <w:r w:rsidR="00517C72" w:rsidRPr="00752169">
          <w:rPr>
            <w:rStyle w:val="Hipercze"/>
            <w:rFonts w:cstheme="minorHAnsi"/>
            <w:sz w:val="24"/>
            <w:szCs w:val="24"/>
          </w:rPr>
          <w:t>https://bip.wielkanieszawka.pl/</w:t>
        </w:r>
      </w:hyperlink>
    </w:p>
    <w:p w14:paraId="10AB81B9" w14:textId="77777777"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14:paraId="1E9C408B"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6B64E006"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17F3239E" w14:textId="77777777" w:rsidR="00EF6DDE" w:rsidRPr="00392968" w:rsidRDefault="00EF6DDE" w:rsidP="00392968">
      <w:pPr>
        <w:pStyle w:val="Bezodstpw"/>
        <w:spacing w:line="276" w:lineRule="auto"/>
        <w:rPr>
          <w:rFonts w:cstheme="minorHAnsi"/>
          <w:sz w:val="24"/>
          <w:szCs w:val="24"/>
        </w:rPr>
      </w:pPr>
    </w:p>
    <w:p w14:paraId="65AA2B5B" w14:textId="77777777" w:rsidR="0096190A" w:rsidRPr="0096190A" w:rsidRDefault="00BB76A2" w:rsidP="0096190A">
      <w:pPr>
        <w:autoSpaceDE w:val="0"/>
        <w:autoSpaceDN w:val="0"/>
        <w:adjustRightInd w:val="0"/>
        <w:spacing w:after="0" w:line="240" w:lineRule="auto"/>
        <w:jc w:val="center"/>
        <w:rPr>
          <w:rFonts w:cstheme="minorHAnsi"/>
          <w:b/>
          <w:szCs w:val="20"/>
        </w:rPr>
      </w:pPr>
      <w:r w:rsidRPr="00FA1E5F">
        <w:rPr>
          <w:b/>
          <w:sz w:val="24"/>
        </w:rPr>
        <w:t>„</w:t>
      </w:r>
      <w:r>
        <w:rPr>
          <w:b/>
          <w:sz w:val="24"/>
        </w:rPr>
        <w:t>Remont</w:t>
      </w:r>
      <w:r w:rsidR="0096190A">
        <w:rPr>
          <w:rFonts w:ascii="Arial" w:hAnsi="Arial" w:cs="Arial"/>
          <w:sz w:val="20"/>
          <w:szCs w:val="20"/>
        </w:rPr>
        <w:t xml:space="preserve"> </w:t>
      </w:r>
      <w:r w:rsidR="0096190A" w:rsidRPr="0096190A">
        <w:rPr>
          <w:rFonts w:cstheme="minorHAnsi"/>
          <w:b/>
          <w:szCs w:val="20"/>
        </w:rPr>
        <w:t>ulicy Długiej w KM 0+000 – 0+323; 0+569 – 1+462 oraz ulicy</w:t>
      </w:r>
    </w:p>
    <w:p w14:paraId="4C4E1C6C" w14:textId="77777777" w:rsidR="00BB76A2" w:rsidRPr="0096190A" w:rsidRDefault="0096190A" w:rsidP="0096190A">
      <w:pPr>
        <w:jc w:val="center"/>
        <w:rPr>
          <w:rFonts w:cstheme="minorHAnsi"/>
          <w:b/>
          <w:sz w:val="28"/>
        </w:rPr>
      </w:pPr>
      <w:r w:rsidRPr="0096190A">
        <w:rPr>
          <w:rFonts w:cstheme="minorHAnsi"/>
          <w:b/>
          <w:szCs w:val="20"/>
        </w:rPr>
        <w:t>Dybowskiej w KM 0+000 – 0+270 w miejscowości Cierpice</w:t>
      </w:r>
      <w:r w:rsidR="00BB76A2" w:rsidRPr="0096190A">
        <w:rPr>
          <w:rFonts w:cstheme="minorHAnsi"/>
          <w:b/>
          <w:sz w:val="28"/>
        </w:rPr>
        <w:t>”</w:t>
      </w:r>
    </w:p>
    <w:p w14:paraId="6BA53752" w14:textId="77777777" w:rsidR="00BB76A2" w:rsidRPr="00392968" w:rsidRDefault="00BB76A2" w:rsidP="00BB76A2">
      <w:pPr>
        <w:pStyle w:val="Bezodstpw"/>
        <w:spacing w:line="276" w:lineRule="auto"/>
        <w:rPr>
          <w:rFonts w:cstheme="minorHAnsi"/>
          <w:sz w:val="24"/>
          <w:szCs w:val="24"/>
        </w:rPr>
      </w:pPr>
    </w:p>
    <w:p w14:paraId="3C4827B2" w14:textId="77777777" w:rsidR="00BB76A2" w:rsidRDefault="00BB76A2" w:rsidP="00BB76A2">
      <w:pPr>
        <w:pStyle w:val="Bezodstpw"/>
        <w:spacing w:line="276" w:lineRule="auto"/>
        <w:rPr>
          <w:rFonts w:cstheme="minorHAnsi"/>
          <w:sz w:val="24"/>
          <w:szCs w:val="24"/>
        </w:rPr>
      </w:pPr>
      <w:r w:rsidRPr="00392968">
        <w:rPr>
          <w:rFonts w:cstheme="minorHAnsi"/>
          <w:sz w:val="24"/>
          <w:szCs w:val="24"/>
        </w:rPr>
        <w:t>Wspólny słownik zamówień CPV:</w:t>
      </w:r>
    </w:p>
    <w:p w14:paraId="3727A883" w14:textId="77777777" w:rsidR="008206D2" w:rsidRPr="008206D2" w:rsidRDefault="008206D2" w:rsidP="008206D2">
      <w:pPr>
        <w:autoSpaceDE w:val="0"/>
        <w:autoSpaceDN w:val="0"/>
        <w:adjustRightInd w:val="0"/>
        <w:spacing w:after="0" w:line="240" w:lineRule="auto"/>
        <w:rPr>
          <w:rFonts w:cstheme="minorHAnsi"/>
          <w:sz w:val="24"/>
          <w:szCs w:val="20"/>
        </w:rPr>
      </w:pPr>
      <w:r w:rsidRPr="008206D2">
        <w:rPr>
          <w:rFonts w:cstheme="minorHAnsi"/>
          <w:sz w:val="24"/>
          <w:szCs w:val="20"/>
        </w:rPr>
        <w:t xml:space="preserve">45233000-9 </w:t>
      </w:r>
      <w:r>
        <w:rPr>
          <w:rFonts w:cstheme="minorHAnsi"/>
          <w:sz w:val="24"/>
          <w:szCs w:val="20"/>
        </w:rPr>
        <w:t xml:space="preserve"> </w:t>
      </w:r>
      <w:r w:rsidRPr="008206D2">
        <w:rPr>
          <w:rFonts w:cstheme="minorHAnsi"/>
          <w:sz w:val="24"/>
          <w:szCs w:val="20"/>
        </w:rPr>
        <w:t>Roboty w zakresie konstruowania, fundamentowania oraz wykonywania</w:t>
      </w:r>
    </w:p>
    <w:p w14:paraId="0778830F" w14:textId="77777777" w:rsidR="008206D2" w:rsidRPr="008206D2" w:rsidRDefault="008206D2" w:rsidP="008206D2">
      <w:pPr>
        <w:pStyle w:val="Bezodstpw"/>
        <w:tabs>
          <w:tab w:val="left" w:pos="1418"/>
        </w:tabs>
        <w:spacing w:line="276" w:lineRule="auto"/>
        <w:ind w:left="708"/>
        <w:rPr>
          <w:rFonts w:cstheme="minorHAnsi"/>
          <w:sz w:val="28"/>
        </w:rPr>
      </w:pPr>
      <w:r>
        <w:rPr>
          <w:rFonts w:cstheme="minorHAnsi"/>
          <w:sz w:val="24"/>
          <w:szCs w:val="20"/>
        </w:rPr>
        <w:t xml:space="preserve">           </w:t>
      </w:r>
      <w:r w:rsidRPr="008206D2">
        <w:rPr>
          <w:rFonts w:cstheme="minorHAnsi"/>
          <w:sz w:val="24"/>
          <w:szCs w:val="20"/>
        </w:rPr>
        <w:t>nawierzchni autostrad, dróg</w:t>
      </w:r>
    </w:p>
    <w:p w14:paraId="35488548" w14:textId="77777777" w:rsidR="00BB76A2" w:rsidRPr="00392968" w:rsidRDefault="00BB76A2" w:rsidP="00BB76A2">
      <w:pPr>
        <w:pStyle w:val="Bezodstpw"/>
        <w:spacing w:line="276" w:lineRule="auto"/>
        <w:rPr>
          <w:rFonts w:cstheme="minorHAnsi"/>
          <w:sz w:val="24"/>
          <w:szCs w:val="24"/>
        </w:rPr>
      </w:pPr>
    </w:p>
    <w:p w14:paraId="3A2DE2CA" w14:textId="77777777"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0D622BBD" w14:textId="77777777" w:rsidR="00EE0442" w:rsidRPr="00392968" w:rsidRDefault="00EE0442" w:rsidP="00392968">
      <w:pPr>
        <w:pStyle w:val="Bezodstpw"/>
        <w:spacing w:line="276" w:lineRule="auto"/>
        <w:rPr>
          <w:rFonts w:cstheme="minorHAnsi"/>
          <w:sz w:val="24"/>
          <w:szCs w:val="24"/>
        </w:rPr>
      </w:pPr>
    </w:p>
    <w:p w14:paraId="0A34A8A9" w14:textId="77777777"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 dalej: ustawa / Pzp.</w:t>
      </w:r>
    </w:p>
    <w:p w14:paraId="21371B50" w14:textId="77777777"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5A1F7D37" w14:textId="77777777"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Pzp. </w:t>
      </w:r>
    </w:p>
    <w:p w14:paraId="051386D1" w14:textId="77777777" w:rsidR="007C2A07" w:rsidRDefault="007C2A07" w:rsidP="007C2A07">
      <w:pPr>
        <w:rPr>
          <w:rFonts w:cstheme="minorHAnsi"/>
          <w:b/>
          <w:bCs/>
          <w:sz w:val="24"/>
          <w:szCs w:val="24"/>
        </w:rPr>
      </w:pPr>
      <w:r>
        <w:rPr>
          <w:rFonts w:cstheme="minorHAnsi"/>
          <w:b/>
          <w:bCs/>
          <w:sz w:val="24"/>
          <w:szCs w:val="24"/>
        </w:rPr>
        <w:br/>
      </w:r>
    </w:p>
    <w:p w14:paraId="5927BF9D" w14:textId="77777777"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64EED302" w14:textId="77777777"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14:paraId="3921DFEC" w14:textId="77777777" w:rsidR="007C2A07" w:rsidRDefault="007C2A07" w:rsidP="00773975">
      <w:pPr>
        <w:rPr>
          <w:rFonts w:cstheme="minorHAnsi"/>
          <w:b/>
          <w:bCs/>
          <w:sz w:val="24"/>
          <w:szCs w:val="24"/>
        </w:rPr>
      </w:pPr>
    </w:p>
    <w:p w14:paraId="639845A9"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0A1081EA" w14:textId="1AF23AD4" w:rsidR="008B01BA" w:rsidRDefault="008B01BA" w:rsidP="008B01BA">
      <w:pPr>
        <w:pStyle w:val="Bezodstpw"/>
        <w:numPr>
          <w:ilvl w:val="0"/>
          <w:numId w:val="52"/>
        </w:numPr>
        <w:spacing w:line="276" w:lineRule="auto"/>
        <w:jc w:val="both"/>
        <w:rPr>
          <w:sz w:val="24"/>
          <w:szCs w:val="24"/>
        </w:rPr>
      </w:pPr>
      <w:bookmarkStart w:id="0" w:name="_Hlk126835610"/>
      <w:r w:rsidRPr="00A52544">
        <w:rPr>
          <w:sz w:val="24"/>
          <w:szCs w:val="24"/>
        </w:rPr>
        <w:t>Przedmiotem zamówienia jest wykonanie robót polegających na modernizacji nawierzchni dróg i chodników gminnych, na następujących odcinkach:</w:t>
      </w:r>
    </w:p>
    <w:p w14:paraId="365499D7" w14:textId="77777777" w:rsidR="008B01BA" w:rsidRPr="00A52544" w:rsidRDefault="008B01BA" w:rsidP="008B01BA">
      <w:pPr>
        <w:pStyle w:val="Bezodstpw"/>
        <w:numPr>
          <w:ilvl w:val="0"/>
          <w:numId w:val="53"/>
        </w:numPr>
        <w:spacing w:line="276" w:lineRule="auto"/>
        <w:rPr>
          <w:sz w:val="24"/>
          <w:szCs w:val="24"/>
        </w:rPr>
      </w:pPr>
      <w:r w:rsidRPr="00A52544">
        <w:rPr>
          <w:rFonts w:cstheme="minorHAnsi"/>
          <w:sz w:val="24"/>
          <w:szCs w:val="24"/>
        </w:rPr>
        <w:t>ul. Długa w KM 0+000 – 0+323; 0+569 – 1+462 wraz z remontem chodnika,</w:t>
      </w:r>
    </w:p>
    <w:p w14:paraId="669EB0E8" w14:textId="77777777" w:rsidR="008B01BA" w:rsidRPr="00A52544" w:rsidRDefault="008B01BA" w:rsidP="008B01BA">
      <w:pPr>
        <w:pStyle w:val="Bezodstpw"/>
        <w:numPr>
          <w:ilvl w:val="0"/>
          <w:numId w:val="53"/>
        </w:numPr>
        <w:spacing w:line="276" w:lineRule="auto"/>
        <w:rPr>
          <w:sz w:val="24"/>
          <w:szCs w:val="24"/>
        </w:rPr>
      </w:pPr>
      <w:r w:rsidRPr="00A52544">
        <w:rPr>
          <w:sz w:val="24"/>
          <w:szCs w:val="24"/>
        </w:rPr>
        <w:t xml:space="preserve">ul. Dybowska </w:t>
      </w:r>
      <w:r w:rsidRPr="00A52544">
        <w:rPr>
          <w:rFonts w:cstheme="minorHAnsi"/>
          <w:sz w:val="24"/>
          <w:szCs w:val="24"/>
        </w:rPr>
        <w:t>w KM 0+000 – 0+270</w:t>
      </w:r>
      <w:r>
        <w:rPr>
          <w:rFonts w:cstheme="minorHAnsi"/>
          <w:sz w:val="24"/>
          <w:szCs w:val="24"/>
        </w:rPr>
        <w:t>,</w:t>
      </w:r>
    </w:p>
    <w:p w14:paraId="70F5B262" w14:textId="77777777" w:rsidR="008B01BA" w:rsidRPr="00A52544" w:rsidRDefault="008B01BA" w:rsidP="008B01BA">
      <w:pPr>
        <w:pStyle w:val="Bezodstpw"/>
        <w:numPr>
          <w:ilvl w:val="0"/>
          <w:numId w:val="53"/>
        </w:numPr>
        <w:spacing w:line="276" w:lineRule="auto"/>
        <w:jc w:val="both"/>
        <w:rPr>
          <w:sz w:val="24"/>
          <w:szCs w:val="24"/>
        </w:rPr>
      </w:pPr>
      <w:r w:rsidRPr="00A52544">
        <w:rPr>
          <w:sz w:val="24"/>
          <w:szCs w:val="24"/>
        </w:rPr>
        <w:t>wykona</w:t>
      </w:r>
      <w:r>
        <w:rPr>
          <w:sz w:val="24"/>
          <w:szCs w:val="24"/>
        </w:rPr>
        <w:t>nie</w:t>
      </w:r>
      <w:r w:rsidRPr="00A52544">
        <w:rPr>
          <w:sz w:val="24"/>
          <w:szCs w:val="24"/>
        </w:rPr>
        <w:t xml:space="preserve"> odcin</w:t>
      </w:r>
      <w:r>
        <w:rPr>
          <w:sz w:val="24"/>
          <w:szCs w:val="24"/>
        </w:rPr>
        <w:t>ka</w:t>
      </w:r>
      <w:r w:rsidRPr="00A52544">
        <w:rPr>
          <w:sz w:val="24"/>
          <w:szCs w:val="24"/>
        </w:rPr>
        <w:t xml:space="preserve"> próbn</w:t>
      </w:r>
      <w:r>
        <w:rPr>
          <w:sz w:val="24"/>
          <w:szCs w:val="24"/>
        </w:rPr>
        <w:t>ego</w:t>
      </w:r>
      <w:r w:rsidRPr="00A52544">
        <w:rPr>
          <w:sz w:val="24"/>
          <w:szCs w:val="24"/>
        </w:rPr>
        <w:t xml:space="preserve"> na ulicy Długiej </w:t>
      </w:r>
      <w:r w:rsidRPr="00A52544">
        <w:rPr>
          <w:rFonts w:cstheme="minorHAnsi"/>
          <w:sz w:val="24"/>
          <w:szCs w:val="24"/>
        </w:rPr>
        <w:t xml:space="preserve">w KM 0+323 – 0+569, </w:t>
      </w:r>
      <w:r w:rsidRPr="00A52544">
        <w:rPr>
          <w:sz w:val="24"/>
          <w:szCs w:val="24"/>
        </w:rPr>
        <w:t>poprzez wykonanie robót polegających na modernizacji nawierzchni bitumicznej w technologii zgodnej z jej remontem.</w:t>
      </w:r>
    </w:p>
    <w:p w14:paraId="4FA64776" w14:textId="6B98EBFB" w:rsidR="001B1905" w:rsidRPr="008B01BA" w:rsidRDefault="001B1905" w:rsidP="008B01BA">
      <w:pPr>
        <w:pStyle w:val="Akapitzlist"/>
        <w:numPr>
          <w:ilvl w:val="0"/>
          <w:numId w:val="52"/>
        </w:numPr>
        <w:jc w:val="both"/>
        <w:rPr>
          <w:rFonts w:cstheme="minorHAnsi"/>
          <w:sz w:val="24"/>
          <w:szCs w:val="24"/>
        </w:rPr>
      </w:pPr>
      <w:r w:rsidRPr="008B01BA">
        <w:rPr>
          <w:rFonts w:cstheme="minorHAnsi"/>
          <w:sz w:val="24"/>
          <w:szCs w:val="24"/>
        </w:rPr>
        <w:t>Szczegółowy opis przedmiotu zamówienia określa dokumentacja projektowa opracowana przez firmę ATS – nadzór, projekty, bhp Tomasz Sulerzycki, Mała Nieszawka, ul</w:t>
      </w:r>
      <w:r w:rsidR="00993DFF" w:rsidRPr="008B01BA">
        <w:rPr>
          <w:rFonts w:cstheme="minorHAnsi"/>
          <w:sz w:val="24"/>
          <w:szCs w:val="24"/>
        </w:rPr>
        <w:t>.</w:t>
      </w:r>
      <w:r w:rsidRPr="008B01BA">
        <w:rPr>
          <w:rFonts w:cstheme="minorHAnsi"/>
          <w:sz w:val="24"/>
          <w:szCs w:val="24"/>
        </w:rPr>
        <w:t xml:space="preserve"> Liliowa </w:t>
      </w:r>
      <w:r w:rsidR="00993DFF" w:rsidRPr="008B01BA">
        <w:rPr>
          <w:rFonts w:cstheme="minorHAnsi"/>
          <w:sz w:val="24"/>
          <w:szCs w:val="24"/>
        </w:rPr>
        <w:t xml:space="preserve">38, 87-103 </w:t>
      </w:r>
      <w:r w:rsidR="00C84501" w:rsidRPr="008B01BA">
        <w:rPr>
          <w:rFonts w:cstheme="minorHAnsi"/>
          <w:sz w:val="24"/>
          <w:szCs w:val="24"/>
        </w:rPr>
        <w:t>Toruń 5</w:t>
      </w:r>
      <w:r w:rsidR="00993DFF" w:rsidRPr="008B01BA">
        <w:rPr>
          <w:rFonts w:cstheme="minorHAnsi"/>
          <w:sz w:val="24"/>
          <w:szCs w:val="24"/>
        </w:rPr>
        <w:t>.</w:t>
      </w:r>
    </w:p>
    <w:bookmarkEnd w:id="0"/>
    <w:p w14:paraId="39105116" w14:textId="77777777" w:rsidR="00F71FF0" w:rsidRPr="00392968" w:rsidRDefault="00F71FF0" w:rsidP="00392968">
      <w:pPr>
        <w:pStyle w:val="Bezodstpw"/>
        <w:spacing w:line="276" w:lineRule="auto"/>
        <w:ind w:left="720"/>
        <w:jc w:val="both"/>
        <w:rPr>
          <w:rFonts w:cstheme="minorHAnsi"/>
          <w:sz w:val="24"/>
          <w:szCs w:val="24"/>
        </w:rPr>
      </w:pPr>
    </w:p>
    <w:p w14:paraId="42037CF4" w14:textId="77777777"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1ADD6CD1" w14:textId="77777777" w:rsidR="00850465" w:rsidRPr="00392968" w:rsidRDefault="00850465" w:rsidP="00392968">
      <w:pPr>
        <w:pStyle w:val="Bezodstpw"/>
        <w:spacing w:line="276" w:lineRule="auto"/>
        <w:ind w:left="426"/>
        <w:jc w:val="both"/>
        <w:rPr>
          <w:rFonts w:cstheme="minorHAnsi"/>
          <w:b/>
          <w:bCs/>
          <w:sz w:val="24"/>
          <w:szCs w:val="24"/>
        </w:rPr>
      </w:pPr>
    </w:p>
    <w:p w14:paraId="3BA44F0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2979068E" w14:textId="77777777" w:rsidR="00F71FF0" w:rsidRPr="00392968" w:rsidRDefault="00F71FF0" w:rsidP="00392968">
      <w:pPr>
        <w:pStyle w:val="Bezodstpw"/>
        <w:spacing w:line="276" w:lineRule="auto"/>
        <w:ind w:left="426"/>
        <w:jc w:val="both"/>
        <w:rPr>
          <w:rFonts w:cstheme="minorHAnsi"/>
          <w:b/>
          <w:bCs/>
          <w:sz w:val="24"/>
          <w:szCs w:val="24"/>
        </w:rPr>
      </w:pPr>
    </w:p>
    <w:p w14:paraId="22FD39D9"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67A0FF83" w14:textId="77777777" w:rsidR="00F71FF0" w:rsidRPr="00392968" w:rsidRDefault="00F71FF0" w:rsidP="00392968">
      <w:pPr>
        <w:pStyle w:val="Bezodstpw"/>
        <w:spacing w:line="276" w:lineRule="auto"/>
        <w:ind w:left="426"/>
        <w:jc w:val="both"/>
        <w:rPr>
          <w:rFonts w:cstheme="minorHAnsi"/>
          <w:b/>
          <w:bCs/>
          <w:sz w:val="24"/>
          <w:szCs w:val="24"/>
        </w:rPr>
      </w:pPr>
    </w:p>
    <w:p w14:paraId="267741F2"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14:paraId="4829B655" w14:textId="77777777" w:rsidR="00F71FF0" w:rsidRPr="00392968" w:rsidRDefault="00F71FF0" w:rsidP="00392968">
      <w:pPr>
        <w:pStyle w:val="Bezodstpw"/>
        <w:spacing w:line="276" w:lineRule="auto"/>
        <w:ind w:left="426"/>
        <w:jc w:val="both"/>
        <w:rPr>
          <w:rFonts w:cstheme="minorHAnsi"/>
          <w:b/>
          <w:bCs/>
          <w:sz w:val="24"/>
          <w:szCs w:val="24"/>
        </w:rPr>
      </w:pPr>
    </w:p>
    <w:p w14:paraId="0344B76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7E3D43DB" w14:textId="77777777"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0F612D69" w14:textId="77777777" w:rsidR="00F71FF0" w:rsidRPr="00392968" w:rsidRDefault="00F71FF0" w:rsidP="00392968">
      <w:pPr>
        <w:pStyle w:val="Bezodstpw"/>
        <w:spacing w:line="276" w:lineRule="auto"/>
        <w:ind w:left="1440"/>
        <w:jc w:val="both"/>
        <w:rPr>
          <w:rFonts w:cstheme="minorHAnsi"/>
          <w:sz w:val="24"/>
          <w:szCs w:val="24"/>
        </w:rPr>
      </w:pPr>
    </w:p>
    <w:p w14:paraId="1E17E180"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14:paraId="1532A280"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t>
      </w:r>
      <w:r w:rsidRPr="00392968">
        <w:rPr>
          <w:rFonts w:cstheme="minorHAnsi"/>
          <w:sz w:val="24"/>
          <w:szCs w:val="24"/>
        </w:rPr>
        <w:lastRenderedPageBreak/>
        <w:t>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5290C86A"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17656207"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276E6004"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50663924"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7CAB030D" w14:textId="77777777" w:rsidR="00F71FF0" w:rsidRPr="00392968" w:rsidRDefault="00F71FF0" w:rsidP="00392968">
      <w:pPr>
        <w:pStyle w:val="Bezodstpw"/>
        <w:spacing w:line="276" w:lineRule="auto"/>
        <w:ind w:left="720"/>
        <w:jc w:val="both"/>
        <w:rPr>
          <w:rFonts w:cstheme="minorHAnsi"/>
          <w:sz w:val="24"/>
          <w:szCs w:val="24"/>
        </w:rPr>
      </w:pPr>
    </w:p>
    <w:p w14:paraId="47A0F5E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05071D4E"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CFBE025"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5D2EF17"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682B24BD"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5A2D4944"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ie podlega wykluczeniu na podstawie art. 108 ust. 1 ustawy Pzp,</w:t>
      </w:r>
    </w:p>
    <w:p w14:paraId="1660910B"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łożył ofertę niepodlegającą odrzuceniu na podstawie art. 226 ust. 1 ustawy Pzp.</w:t>
      </w:r>
    </w:p>
    <w:p w14:paraId="11A91696"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1ED425D3"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4BBBE55F"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025B3F90"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01A226D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14:paraId="44B7FFE9" w14:textId="77777777"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Pzp. </w:t>
      </w:r>
    </w:p>
    <w:p w14:paraId="61E17244" w14:textId="77777777"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14:paraId="20E985A1" w14:textId="77777777" w:rsidR="00F71FF0" w:rsidRPr="00392968" w:rsidRDefault="00F71FF0" w:rsidP="00392968">
      <w:pPr>
        <w:pStyle w:val="Bezodstpw"/>
        <w:spacing w:line="276" w:lineRule="auto"/>
        <w:ind w:left="1440"/>
        <w:jc w:val="both"/>
        <w:rPr>
          <w:rFonts w:cstheme="minorHAnsi"/>
          <w:sz w:val="24"/>
          <w:szCs w:val="24"/>
        </w:rPr>
      </w:pPr>
    </w:p>
    <w:p w14:paraId="39B82CA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6996FC14"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051888B"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W postępowaniu o udzielenie zamówienia komunikacja między Zamawiającym a Wykonawcami odbywa się przy użyciu portalu https://ezamowienia.gov.pl/pl/, ePUAPu - https://epuap.gov.pl oraz poczty elektronicznej:</w:t>
      </w:r>
      <w:r w:rsidR="00FC64E9">
        <w:rPr>
          <w:rFonts w:cstheme="minorHAnsi"/>
          <w:sz w:val="24"/>
          <w:szCs w:val="24"/>
        </w:rPr>
        <w:t xml:space="preserve"> </w:t>
      </w:r>
      <w:r w:rsidR="006A4EF5">
        <w:rPr>
          <w:rFonts w:cstheme="minorHAnsi"/>
          <w:sz w:val="24"/>
          <w:szCs w:val="24"/>
        </w:rPr>
        <w:t>inwestycje</w:t>
      </w:r>
      <w:r w:rsidR="006A4EF5" w:rsidRPr="00392968">
        <w:rPr>
          <w:rFonts w:cstheme="minorHAnsi"/>
          <w:sz w:val="24"/>
          <w:szCs w:val="24"/>
        </w:rPr>
        <w:t>@wielkanieszawka.pl</w:t>
      </w:r>
    </w:p>
    <w:p w14:paraId="32F0314F"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43A0845B"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00027D0A"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7A83A446"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274201C0"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2A49EECE"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715B1652"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4E743E8D"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5C907D50"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w:t>
      </w:r>
      <w:r w:rsidRPr="00392968">
        <w:rPr>
          <w:rFonts w:cstheme="minorHAnsi"/>
          <w:sz w:val="24"/>
          <w:szCs w:val="24"/>
        </w:rPr>
        <w:lastRenderedPageBreak/>
        <w:t xml:space="preserve">zainteresowanych wykonawców z wyjaśnieniami niezbędnymi do należytego przygotowania i złożenia ofert. </w:t>
      </w:r>
    </w:p>
    <w:p w14:paraId="2E245AF4"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43C203E7" w14:textId="77777777"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051C96C7" w14:textId="77777777" w:rsidR="00F71FF0" w:rsidRPr="00392968" w:rsidRDefault="00F71FF0" w:rsidP="00392968">
      <w:pPr>
        <w:pStyle w:val="Bezodstpw"/>
        <w:spacing w:line="276" w:lineRule="auto"/>
        <w:ind w:left="720"/>
        <w:jc w:val="both"/>
        <w:rPr>
          <w:rFonts w:cstheme="minorHAnsi"/>
          <w:sz w:val="24"/>
          <w:szCs w:val="24"/>
        </w:rPr>
      </w:pPr>
    </w:p>
    <w:p w14:paraId="34D10C50" w14:textId="77777777"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52D21F7F" w14:textId="77777777"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620F1B15" w14:textId="77777777" w:rsidR="00F71FF0" w:rsidRPr="00392968" w:rsidRDefault="00F71FF0" w:rsidP="00392968">
      <w:pPr>
        <w:pStyle w:val="Bezodstpw"/>
        <w:spacing w:line="276" w:lineRule="auto"/>
        <w:ind w:left="720"/>
        <w:jc w:val="both"/>
        <w:rPr>
          <w:rFonts w:cstheme="minorHAnsi"/>
          <w:sz w:val="24"/>
          <w:szCs w:val="24"/>
        </w:rPr>
      </w:pPr>
    </w:p>
    <w:p w14:paraId="788EED8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E3C8D99" w14:textId="77777777" w:rsidR="00CA631B" w:rsidRPr="00CA631B" w:rsidRDefault="00CA631B" w:rsidP="00CA631B">
      <w:pPr>
        <w:rPr>
          <w:rFonts w:cstheme="minorHAnsi"/>
          <w:color w:val="000000"/>
          <w:sz w:val="24"/>
          <w:szCs w:val="24"/>
        </w:rPr>
      </w:pPr>
      <w:r w:rsidRPr="00CA631B">
        <w:rPr>
          <w:rFonts w:cstheme="minorHAnsi"/>
          <w:color w:val="000000"/>
          <w:sz w:val="24"/>
          <w:szCs w:val="24"/>
        </w:rPr>
        <w:t xml:space="preserve">Zamawiający wymaga, aby przedmiot zamówienia został zrealizowany w terminie do </w:t>
      </w:r>
      <w:r w:rsidR="006A4EF5">
        <w:rPr>
          <w:rFonts w:cstheme="minorHAnsi"/>
          <w:color w:val="000000"/>
          <w:sz w:val="24"/>
          <w:szCs w:val="24"/>
        </w:rPr>
        <w:br/>
      </w:r>
      <w:r w:rsidR="006A4EF5" w:rsidRPr="006F4A8B">
        <w:rPr>
          <w:rFonts w:cstheme="minorHAnsi"/>
          <w:sz w:val="24"/>
          <w:szCs w:val="24"/>
        </w:rPr>
        <w:t>3 miesięcy</w:t>
      </w:r>
      <w:r w:rsidR="006A4EF5">
        <w:rPr>
          <w:rFonts w:cstheme="minorHAnsi"/>
          <w:color w:val="000000"/>
          <w:sz w:val="24"/>
          <w:szCs w:val="24"/>
        </w:rPr>
        <w:t xml:space="preserve"> </w:t>
      </w:r>
      <w:r w:rsidRPr="00CA631B">
        <w:rPr>
          <w:rFonts w:cstheme="minorHAnsi"/>
          <w:color w:val="000000"/>
          <w:sz w:val="24"/>
          <w:szCs w:val="24"/>
        </w:rPr>
        <w:t>od dnia podpisania umowy.</w:t>
      </w:r>
    </w:p>
    <w:p w14:paraId="1410E9CC" w14:textId="77777777" w:rsidR="00AF5655" w:rsidRPr="00392968" w:rsidRDefault="00AF5655" w:rsidP="00392968">
      <w:pPr>
        <w:pStyle w:val="Bezodstpw"/>
        <w:spacing w:line="276" w:lineRule="auto"/>
        <w:ind w:left="720"/>
        <w:jc w:val="both"/>
        <w:rPr>
          <w:rFonts w:cstheme="minorHAnsi"/>
          <w:sz w:val="24"/>
          <w:szCs w:val="24"/>
        </w:rPr>
      </w:pPr>
    </w:p>
    <w:p w14:paraId="67E5E7F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Pzp, zamawiający określa warunek/warunki udziału </w:t>
      </w:r>
      <w:r w:rsidR="00A11CDE">
        <w:rPr>
          <w:rFonts w:cstheme="minorHAnsi"/>
          <w:b/>
          <w:bCs/>
          <w:sz w:val="24"/>
          <w:szCs w:val="24"/>
        </w:rPr>
        <w:br/>
      </w:r>
      <w:r w:rsidRPr="00392968">
        <w:rPr>
          <w:rFonts w:cstheme="minorHAnsi"/>
          <w:b/>
          <w:bCs/>
          <w:sz w:val="24"/>
          <w:szCs w:val="24"/>
        </w:rPr>
        <w:t>w</w:t>
      </w:r>
      <w:r w:rsidRPr="00392968">
        <w:rPr>
          <w:rFonts w:cstheme="minorHAnsi"/>
          <w:sz w:val="24"/>
          <w:szCs w:val="24"/>
        </w:rPr>
        <w:t xml:space="preserve"> </w:t>
      </w:r>
      <w:r w:rsidRPr="00392968">
        <w:rPr>
          <w:rFonts w:cstheme="minorHAnsi"/>
          <w:b/>
          <w:bCs/>
          <w:sz w:val="24"/>
          <w:szCs w:val="24"/>
        </w:rPr>
        <w:t>postępowaniu dotyczące:</w:t>
      </w:r>
    </w:p>
    <w:p w14:paraId="7A00B2B0"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07D4007A"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6B230995"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Zdolności do występowania w obrocie gospodarczym:</w:t>
      </w:r>
    </w:p>
    <w:p w14:paraId="3A337AFC"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6401F813"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3A96EBA3"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ADA93EC"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 xml:space="preserve">Sytuacji ekonomicznej lub finansowej: </w:t>
      </w:r>
    </w:p>
    <w:p w14:paraId="3E69980E" w14:textId="77777777"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73FB2A53" w14:textId="77777777" w:rsidR="00CA631B" w:rsidRPr="00392968" w:rsidRDefault="00CA631B" w:rsidP="00CA631B">
      <w:pPr>
        <w:pStyle w:val="Akapitzlist"/>
        <w:numPr>
          <w:ilvl w:val="0"/>
          <w:numId w:val="44"/>
        </w:numPr>
        <w:spacing w:after="0"/>
        <w:rPr>
          <w:rFonts w:cstheme="minorHAnsi"/>
          <w:sz w:val="24"/>
          <w:szCs w:val="24"/>
        </w:rPr>
      </w:pPr>
      <w:r w:rsidRPr="00392968">
        <w:rPr>
          <w:rFonts w:cstheme="minorHAnsi"/>
          <w:sz w:val="24"/>
          <w:szCs w:val="24"/>
        </w:rPr>
        <w:t xml:space="preserve">Zdolności technicznej lub zawodowej: </w:t>
      </w:r>
    </w:p>
    <w:p w14:paraId="059398CF" w14:textId="77777777" w:rsidR="00CA631B" w:rsidRPr="00392968"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Pr>
          <w:rFonts w:cstheme="minorHAnsi"/>
          <w:sz w:val="24"/>
          <w:szCs w:val="24"/>
        </w:rPr>
        <w:t xml:space="preserve">remoncie, </w:t>
      </w:r>
      <w:r w:rsidRPr="00392968">
        <w:rPr>
          <w:rFonts w:cstheme="minorHAnsi"/>
          <w:sz w:val="24"/>
          <w:szCs w:val="24"/>
        </w:rPr>
        <w:lastRenderedPageBreak/>
        <w:t>budowie,</w:t>
      </w:r>
      <w:r w:rsidRPr="00392968">
        <w:rPr>
          <w:rFonts w:cstheme="minorHAnsi"/>
          <w:color w:val="000000"/>
          <w:sz w:val="24"/>
          <w:szCs w:val="24"/>
        </w:rPr>
        <w:t xml:space="preserve"> rozbudowie lub </w:t>
      </w:r>
      <w:r w:rsidRPr="00392968">
        <w:rPr>
          <w:rFonts w:cstheme="minorHAnsi"/>
          <w:sz w:val="24"/>
          <w:szCs w:val="24"/>
        </w:rPr>
        <w:t xml:space="preserve">przebudowie </w:t>
      </w:r>
      <w:r>
        <w:rPr>
          <w:rFonts w:cstheme="minorHAnsi"/>
          <w:sz w:val="24"/>
          <w:szCs w:val="24"/>
        </w:rPr>
        <w:t>drogi lub chodnika</w:t>
      </w:r>
      <w:r w:rsidRPr="00392968">
        <w:rPr>
          <w:rFonts w:cstheme="minorHAnsi"/>
          <w:sz w:val="24"/>
          <w:szCs w:val="24"/>
        </w:rPr>
        <w:t xml:space="preserve"> o wartości minimum </w:t>
      </w:r>
      <w:r w:rsidR="00A11CDE" w:rsidRPr="006F4A8B">
        <w:rPr>
          <w:rFonts w:cstheme="minorHAnsi"/>
          <w:sz w:val="24"/>
          <w:szCs w:val="20"/>
        </w:rPr>
        <w:t xml:space="preserve">1 </w:t>
      </w:r>
      <w:r w:rsidR="00C84501">
        <w:rPr>
          <w:rFonts w:cstheme="minorHAnsi"/>
          <w:sz w:val="24"/>
          <w:szCs w:val="20"/>
        </w:rPr>
        <w:t>000</w:t>
      </w:r>
      <w:r w:rsidR="00A11CDE" w:rsidRPr="006F4A8B">
        <w:rPr>
          <w:rFonts w:cstheme="minorHAnsi"/>
          <w:sz w:val="24"/>
          <w:szCs w:val="20"/>
        </w:rPr>
        <w:t xml:space="preserve"> 000,00</w:t>
      </w:r>
      <w:r w:rsidRPr="006F4A8B">
        <w:rPr>
          <w:rFonts w:cstheme="minorHAnsi"/>
          <w:sz w:val="32"/>
          <w:szCs w:val="24"/>
        </w:rPr>
        <w:t xml:space="preserve"> </w:t>
      </w:r>
      <w:r w:rsidRPr="006F4A8B">
        <w:rPr>
          <w:rFonts w:cstheme="minorHAnsi"/>
          <w:sz w:val="24"/>
          <w:szCs w:val="24"/>
        </w:rPr>
        <w:t>zł brutto.</w:t>
      </w:r>
    </w:p>
    <w:p w14:paraId="0A59EAFC" w14:textId="77777777" w:rsidR="00CA631B" w:rsidRPr="00A2046B"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Pr>
          <w:rFonts w:eastAsia="ArialNarrow" w:cstheme="minorHAnsi"/>
          <w:bCs/>
          <w:sz w:val="24"/>
          <w:szCs w:val="24"/>
        </w:rPr>
        <w:t>drogowej</w:t>
      </w:r>
      <w:r w:rsidRPr="00A2046B">
        <w:rPr>
          <w:rFonts w:eastAsia="ArialNarrow" w:cstheme="minorHAnsi"/>
          <w:bCs/>
          <w:sz w:val="24"/>
          <w:szCs w:val="24"/>
        </w:rPr>
        <w:t>;</w:t>
      </w:r>
    </w:p>
    <w:p w14:paraId="36987859"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124DCE05"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4DE54791"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 Dz. U. z 2019 r. poz. 1117)</w:t>
      </w:r>
    </w:p>
    <w:p w14:paraId="6FF776E4"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w:t>
      </w:r>
      <w:r w:rsidRPr="00392968">
        <w:rPr>
          <w:rFonts w:cstheme="minorHAnsi"/>
          <w:sz w:val="24"/>
          <w:szCs w:val="24"/>
        </w:rPr>
        <w:lastRenderedPageBreak/>
        <w:t xml:space="preserve">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0398F448"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1DE00D8E" w14:textId="77777777" w:rsidR="00CA631B" w:rsidRDefault="00CA631B" w:rsidP="00CA631B">
      <w:pPr>
        <w:pStyle w:val="Akapitzlist"/>
        <w:numPr>
          <w:ilvl w:val="0"/>
          <w:numId w:val="43"/>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4B82F" w14:textId="77777777" w:rsidR="00CA631B" w:rsidRPr="00392968" w:rsidRDefault="00CA631B" w:rsidP="00CA631B">
      <w:pPr>
        <w:pStyle w:val="Akapitzlist"/>
        <w:spacing w:after="0"/>
        <w:jc w:val="both"/>
        <w:rPr>
          <w:rFonts w:cstheme="minorHAnsi"/>
          <w:sz w:val="24"/>
          <w:szCs w:val="24"/>
        </w:rPr>
      </w:pPr>
    </w:p>
    <w:p w14:paraId="13CAB460"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14:paraId="62767D6C" w14:textId="77777777"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76B67B10" w14:textId="77777777"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519C050E" w14:textId="77777777"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14:paraId="697AC7D2"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14:paraId="2650A60C"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14:paraId="7EFEDD44"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14:paraId="127B81C7"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14:paraId="272E5D60" w14:textId="77777777"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8C0FA8D"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 xml:space="preserve">286 </w:t>
      </w:r>
      <w:r w:rsidR="00EE0442" w:rsidRPr="00392968">
        <w:rPr>
          <w:rFonts w:cstheme="minorHAnsi"/>
          <w:sz w:val="24"/>
          <w:szCs w:val="24"/>
        </w:rPr>
        <w:lastRenderedPageBreak/>
        <w:t>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14:paraId="5E58C26C" w14:textId="77777777"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14:paraId="0E2782DA" w14:textId="77777777"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1CD3A1F7"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7DF9401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5E1DB25D"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3450702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0CEC58C0"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14:paraId="62156E87" w14:textId="77777777"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w:t>
      </w:r>
      <w:r w:rsidR="00EE0442" w:rsidRPr="00392968">
        <w:rPr>
          <w:rFonts w:cstheme="minorHAnsi"/>
          <w:sz w:val="24"/>
          <w:szCs w:val="24"/>
        </w:rPr>
        <w:lastRenderedPageBreak/>
        <w:t>udzielenie zamówienia publicznego prowadzonego na podstawie ustawy Pzp wyklucza się:</w:t>
      </w:r>
    </w:p>
    <w:p w14:paraId="6B3E1465"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7A16159"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15207A83"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1A08ABA4" w14:textId="77777777" w:rsidR="00F71FF0" w:rsidRPr="00392968" w:rsidRDefault="00F71FF0" w:rsidP="00392968">
      <w:pPr>
        <w:pStyle w:val="Bezodstpw"/>
        <w:spacing w:line="276" w:lineRule="auto"/>
        <w:ind w:left="1080"/>
        <w:jc w:val="both"/>
        <w:rPr>
          <w:rFonts w:cstheme="minorHAnsi"/>
          <w:sz w:val="24"/>
          <w:szCs w:val="24"/>
        </w:rPr>
      </w:pPr>
    </w:p>
    <w:p w14:paraId="59AD60F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6B6D818D" w14:textId="77777777"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630FE34D"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738FDC28"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70FDECE7" w14:textId="77777777"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58765C38" w14:textId="77777777"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FBCA563"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 xml:space="preserve">ażdy spośród wykonawców wspólnie ubiegających się o udzielenie zamówienia. W takim przypadku oświadczenie potwierdza brak podstaw wykluczenia wykonawcy oraz spełnianie warunków udziału w postępowaniu </w:t>
      </w:r>
      <w:r w:rsidR="00EE0442" w:rsidRPr="00392968">
        <w:rPr>
          <w:rFonts w:cstheme="minorHAnsi"/>
          <w:sz w:val="24"/>
          <w:szCs w:val="24"/>
        </w:rPr>
        <w:lastRenderedPageBreak/>
        <w:t>w zakresie, w jakim każdy z wykonawców wykazuje spełnianie warunków udziału w postępowaniu</w:t>
      </w:r>
      <w:r w:rsidRPr="00392968">
        <w:rPr>
          <w:rFonts w:cstheme="minorHAnsi"/>
          <w:sz w:val="24"/>
          <w:szCs w:val="24"/>
        </w:rPr>
        <w:t>.</w:t>
      </w:r>
    </w:p>
    <w:p w14:paraId="1321A707"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0D1165C7" w14:textId="77777777"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6F7A398A" w14:textId="77777777"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3EFE5074"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3D614C94"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58C3ACD2"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65C9D312" w14:textId="77777777"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AB35121"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1C3C0E92"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4707B7A1"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E1C64FF" w14:textId="77777777"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w:t>
      </w:r>
      <w:r w:rsidRPr="00392968">
        <w:rPr>
          <w:rFonts w:cstheme="minorHAnsi"/>
          <w:sz w:val="24"/>
          <w:szCs w:val="24"/>
        </w:rPr>
        <w:lastRenderedPageBreak/>
        <w:t xml:space="preserve">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14:paraId="725B4561" w14:textId="77777777"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8183AA" w14:textId="77777777" w:rsidR="00CA454B" w:rsidRPr="00392968" w:rsidRDefault="00CA454B" w:rsidP="00392968">
      <w:pPr>
        <w:pStyle w:val="Bezodstpw"/>
        <w:spacing w:line="276" w:lineRule="auto"/>
        <w:jc w:val="both"/>
        <w:rPr>
          <w:rFonts w:cstheme="minorHAnsi"/>
          <w:i/>
          <w:iCs/>
          <w:sz w:val="24"/>
          <w:szCs w:val="24"/>
        </w:rPr>
      </w:pPr>
    </w:p>
    <w:p w14:paraId="2DA4DA1D"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14:paraId="28505DB5" w14:textId="77777777"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Pzp,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2E27B40F" w14:textId="77777777"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44336BFB" w14:textId="77777777"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3C24F6F" w14:textId="77777777"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14:paraId="506E013B" w14:textId="77777777"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27321F35" w14:textId="77777777"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lastRenderedPageBreak/>
        <w:t>Zamawiający, na podstawie § 3 Rozporządzenia Ministra Transportu, Rozwoju, Pracy</w:t>
      </w:r>
      <w:r w:rsidR="00EC27A9" w:rsidRPr="00392968">
        <w:rPr>
          <w:rFonts w:cstheme="minorHAnsi"/>
          <w:sz w:val="24"/>
          <w:szCs w:val="24"/>
        </w:rPr>
        <w:t xml:space="preserve"> </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8E407E0" w14:textId="77777777" w:rsidR="00EE0442" w:rsidRPr="00392968" w:rsidRDefault="00EE0442" w:rsidP="00392968">
      <w:pPr>
        <w:pStyle w:val="Bezodstpw"/>
        <w:spacing w:line="276" w:lineRule="auto"/>
        <w:jc w:val="both"/>
        <w:rPr>
          <w:rFonts w:cstheme="minorHAnsi"/>
          <w:sz w:val="24"/>
          <w:szCs w:val="24"/>
        </w:rPr>
      </w:pPr>
    </w:p>
    <w:p w14:paraId="6F0EEB1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14:paraId="2A5F00CB"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0C5DF3" w:rsidRPr="00392968">
        <w:rPr>
          <w:rFonts w:cstheme="minorHAnsi"/>
          <w:sz w:val="24"/>
          <w:szCs w:val="24"/>
        </w:rPr>
        <w:t xml:space="preserve"> </w:t>
      </w:r>
      <w:r w:rsidR="00E24021">
        <w:rPr>
          <w:rFonts w:cstheme="minorHAnsi"/>
          <w:sz w:val="24"/>
          <w:szCs w:val="24"/>
        </w:rPr>
        <w:t>1</w:t>
      </w:r>
      <w:r w:rsidR="00C84501">
        <w:rPr>
          <w:rFonts w:cstheme="minorHAnsi"/>
          <w:sz w:val="24"/>
          <w:szCs w:val="24"/>
        </w:rPr>
        <w:t>0</w:t>
      </w:r>
      <w:r w:rsidR="0094386F" w:rsidRPr="00392968">
        <w:rPr>
          <w:rFonts w:cstheme="minorHAnsi"/>
          <w:sz w:val="24"/>
          <w:szCs w:val="24"/>
        </w:rPr>
        <w:t>.0</w:t>
      </w:r>
      <w:r w:rsidRPr="00392968">
        <w:rPr>
          <w:rFonts w:cstheme="minorHAnsi"/>
          <w:sz w:val="24"/>
          <w:szCs w:val="24"/>
        </w:rPr>
        <w:t>00,00 zł</w:t>
      </w:r>
      <w:r w:rsidR="00E179BF" w:rsidRPr="00392968">
        <w:rPr>
          <w:rFonts w:cstheme="minorHAnsi"/>
          <w:sz w:val="24"/>
          <w:szCs w:val="24"/>
        </w:rPr>
        <w:t>.</w:t>
      </w:r>
    </w:p>
    <w:p w14:paraId="19AE4164"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4D0F6468" w14:textId="77777777"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628BC3C5"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14:paraId="26E23C2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502B5B7F"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A61E61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14:paraId="08C5AB40" w14:textId="77777777"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22475905" w14:textId="77777777"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262ED315" w14:textId="22311021"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C25970">
        <w:rPr>
          <w:rFonts w:cstheme="minorHAnsi"/>
          <w:b/>
          <w:bCs/>
          <w:sz w:val="24"/>
          <w:szCs w:val="24"/>
        </w:rPr>
        <w:t>9</w:t>
      </w:r>
      <w:r w:rsidR="0094386F" w:rsidRPr="00392968">
        <w:rPr>
          <w:rFonts w:cstheme="minorHAnsi"/>
          <w:b/>
          <w:bCs/>
          <w:sz w:val="24"/>
          <w:szCs w:val="24"/>
        </w:rPr>
        <w:t>.2023</w:t>
      </w:r>
    </w:p>
    <w:p w14:paraId="6D64A44B" w14:textId="77777777"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48FFBF04"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164FDA57"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107805F0"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678882DB"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7B10EE03"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5387DCDA"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1E308977" w14:textId="77777777"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lastRenderedPageBreak/>
        <w:t xml:space="preserve">unieważnienia postępowania o udzielenie zamówienia, z wyjątkiem sytuacji gdy nie zostało rozstrzygnięte odwołanie na czynność unieważnienia albo nie upłynął termin do jego wniesienia. </w:t>
      </w:r>
    </w:p>
    <w:p w14:paraId="47164DC8"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3DB2CA4C"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0F079AE2"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31CD7857"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328E69D6" w14:textId="77777777"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1C7F147B"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2416F13"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334F152D"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7BEC410D"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Pzp</w:t>
      </w:r>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14:paraId="31888A88"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5E375228"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0B579EB4"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3B700E85" w14:textId="77777777"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lastRenderedPageBreak/>
        <w:t>zawarcie umowy w sprawie zamówienia publicznego stało się niemożliwe z przyczyn leżących po stronie wykonawcy, którego oferta została wybrana</w:t>
      </w:r>
      <w:r w:rsidR="00C703FE" w:rsidRPr="00392968">
        <w:rPr>
          <w:rFonts w:cstheme="minorHAnsi"/>
          <w:sz w:val="24"/>
          <w:szCs w:val="24"/>
        </w:rPr>
        <w:t>.</w:t>
      </w:r>
    </w:p>
    <w:p w14:paraId="54E9E7D2" w14:textId="77777777" w:rsidR="00EE0442" w:rsidRPr="00392968" w:rsidRDefault="00EE0442" w:rsidP="00392968">
      <w:pPr>
        <w:pStyle w:val="Bezodstpw"/>
        <w:spacing w:line="276" w:lineRule="auto"/>
        <w:jc w:val="both"/>
        <w:rPr>
          <w:rFonts w:cstheme="minorHAnsi"/>
          <w:sz w:val="24"/>
          <w:szCs w:val="24"/>
        </w:rPr>
      </w:pPr>
    </w:p>
    <w:p w14:paraId="2C6F458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43CADE2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58BA3C89"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7BB14BF4" w14:textId="77777777"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5BBBB6F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r w:rsidR="00C63F9F" w:rsidRPr="00392968">
        <w:rPr>
          <w:rFonts w:cstheme="minorHAnsi"/>
          <w:sz w:val="24"/>
          <w:szCs w:val="24"/>
        </w:rPr>
        <w:t>roz.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14:paraId="4B670E2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4B96C1A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18F716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26FDE7B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5B0126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.msi</w:t>
      </w:r>
      <w:r w:rsidR="002F20AD" w:rsidRPr="00392968">
        <w:rPr>
          <w:rFonts w:cstheme="minorHAnsi"/>
          <w:sz w:val="24"/>
          <w:szCs w:val="24"/>
        </w:rPr>
        <w:t>”</w:t>
      </w:r>
      <w:r w:rsidRPr="00392968">
        <w:rPr>
          <w:rFonts w:cstheme="minorHAnsi"/>
          <w:sz w:val="24"/>
          <w:szCs w:val="24"/>
        </w:rPr>
        <w:t>.</w:t>
      </w:r>
    </w:p>
    <w:p w14:paraId="7EBEE3F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7C3C5FF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333A2321"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14:paraId="58627CD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555BDB0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14:paraId="3FEEB21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43325985" w14:textId="77777777" w:rsidR="00EE0442" w:rsidRPr="00392968" w:rsidRDefault="00EE0442" w:rsidP="00392968">
      <w:pPr>
        <w:pStyle w:val="Bezodstpw"/>
        <w:spacing w:line="276" w:lineRule="auto"/>
        <w:jc w:val="both"/>
        <w:rPr>
          <w:rFonts w:cstheme="minorHAnsi"/>
          <w:sz w:val="24"/>
          <w:szCs w:val="24"/>
        </w:rPr>
      </w:pPr>
    </w:p>
    <w:p w14:paraId="7DA11C41"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28C5DAC2"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496602BE"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69840AB0"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099AEFB6"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17EAD091"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26500E0A"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6837546C"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2DAE9551" w14:textId="77777777" w:rsidR="00EE0442" w:rsidRPr="00392968" w:rsidRDefault="00EE0442" w:rsidP="00392968">
      <w:pPr>
        <w:pStyle w:val="Bezodstpw"/>
        <w:spacing w:line="276" w:lineRule="auto"/>
        <w:jc w:val="both"/>
        <w:rPr>
          <w:rFonts w:cstheme="minorHAnsi"/>
          <w:sz w:val="24"/>
          <w:szCs w:val="24"/>
        </w:rPr>
      </w:pPr>
    </w:p>
    <w:p w14:paraId="1DA3155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1476D7C5" w14:textId="029FD266"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C0332B">
        <w:rPr>
          <w:rFonts w:cstheme="minorHAnsi"/>
          <w:b/>
          <w:bCs/>
          <w:sz w:val="24"/>
          <w:szCs w:val="24"/>
        </w:rPr>
        <w:t>17</w:t>
      </w:r>
      <w:r w:rsidR="00C25970">
        <w:rPr>
          <w:rFonts w:cstheme="minorHAnsi"/>
          <w:b/>
          <w:bCs/>
          <w:sz w:val="24"/>
          <w:szCs w:val="24"/>
        </w:rPr>
        <w:t>.03</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12:00</w:t>
      </w:r>
      <w:r w:rsidRPr="00392968">
        <w:rPr>
          <w:rFonts w:cstheme="minorHAnsi"/>
          <w:sz w:val="24"/>
          <w:szCs w:val="24"/>
        </w:rPr>
        <w:t>.</w:t>
      </w:r>
    </w:p>
    <w:p w14:paraId="2E404B47" w14:textId="57C39ADF"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C0332B">
        <w:rPr>
          <w:rFonts w:cstheme="minorHAnsi"/>
          <w:b/>
          <w:bCs/>
          <w:sz w:val="24"/>
          <w:szCs w:val="24"/>
        </w:rPr>
        <w:t>17</w:t>
      </w:r>
      <w:r w:rsidR="00C25970">
        <w:rPr>
          <w:rFonts w:cstheme="minorHAnsi"/>
          <w:b/>
          <w:bCs/>
          <w:sz w:val="24"/>
          <w:szCs w:val="24"/>
        </w:rPr>
        <w:t>.03</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12:15</w:t>
      </w:r>
      <w:r w:rsidR="008037E4" w:rsidRPr="00392968">
        <w:rPr>
          <w:rFonts w:cstheme="minorHAnsi"/>
          <w:b/>
          <w:bCs/>
          <w:sz w:val="24"/>
          <w:szCs w:val="24"/>
        </w:rPr>
        <w:t>.</w:t>
      </w:r>
      <w:r w:rsidRPr="00392968">
        <w:rPr>
          <w:rFonts w:cstheme="minorHAnsi"/>
          <w:sz w:val="24"/>
          <w:szCs w:val="24"/>
        </w:rPr>
        <w:t xml:space="preserve"> </w:t>
      </w:r>
    </w:p>
    <w:p w14:paraId="7394AACC"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2969434E"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4647D017"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lastRenderedPageBreak/>
        <w:t>nazwach albo imionach i nazwiskach oraz siedzibach lub miejscach prowadzonej działalności gospodarczej bądź miejscach zamieszkania wykonawców, których oferty zostały otwarte;</w:t>
      </w:r>
    </w:p>
    <w:p w14:paraId="4C06EA81"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405F4323" w14:textId="77777777" w:rsidR="008037E4" w:rsidRPr="00392968" w:rsidRDefault="008037E4" w:rsidP="00392968">
      <w:pPr>
        <w:pStyle w:val="Bezodstpw"/>
        <w:spacing w:line="276" w:lineRule="auto"/>
        <w:jc w:val="both"/>
        <w:rPr>
          <w:rFonts w:cstheme="minorHAnsi"/>
          <w:sz w:val="24"/>
          <w:szCs w:val="24"/>
        </w:rPr>
      </w:pPr>
    </w:p>
    <w:p w14:paraId="219F5B40"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14:paraId="797C6F4D" w14:textId="12D55E4A"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C0332B">
        <w:rPr>
          <w:rFonts w:cstheme="minorHAnsi"/>
          <w:b/>
          <w:bCs/>
          <w:sz w:val="24"/>
          <w:szCs w:val="24"/>
        </w:rPr>
        <w:t>16</w:t>
      </w:r>
      <w:bookmarkStart w:id="1" w:name="_GoBack"/>
      <w:bookmarkEnd w:id="1"/>
      <w:r w:rsidR="00C25970">
        <w:rPr>
          <w:rFonts w:cstheme="minorHAnsi"/>
          <w:b/>
          <w:bCs/>
          <w:sz w:val="24"/>
          <w:szCs w:val="24"/>
        </w:rPr>
        <w:t>.04</w:t>
      </w:r>
      <w:r w:rsidRPr="00392968">
        <w:rPr>
          <w:rFonts w:cstheme="minorHAnsi"/>
          <w:b/>
          <w:bCs/>
          <w:sz w:val="24"/>
          <w:szCs w:val="24"/>
        </w:rPr>
        <w:t>.202</w:t>
      </w:r>
      <w:r w:rsidR="00C25970">
        <w:rPr>
          <w:rFonts w:cstheme="minorHAnsi"/>
          <w:b/>
          <w:bCs/>
          <w:sz w:val="24"/>
          <w:szCs w:val="24"/>
        </w:rPr>
        <w:t>3</w:t>
      </w:r>
      <w:r w:rsidRPr="00392968">
        <w:rPr>
          <w:rFonts w:cstheme="minorHAnsi"/>
          <w:b/>
          <w:bCs/>
          <w:sz w:val="24"/>
          <w:szCs w:val="24"/>
        </w:rPr>
        <w:t xml:space="preserve"> r.</w:t>
      </w:r>
    </w:p>
    <w:p w14:paraId="35C6E0FF" w14:textId="77777777"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29B27293" w14:textId="77777777" w:rsidR="00EE0442" w:rsidRPr="00392968" w:rsidRDefault="00EE0442" w:rsidP="00392968">
      <w:pPr>
        <w:pStyle w:val="Bezodstpw"/>
        <w:spacing w:line="276" w:lineRule="auto"/>
        <w:jc w:val="both"/>
        <w:rPr>
          <w:rFonts w:cstheme="minorHAnsi"/>
          <w:sz w:val="24"/>
          <w:szCs w:val="24"/>
        </w:rPr>
      </w:pPr>
    </w:p>
    <w:p w14:paraId="3DE2465F" w14:textId="77777777"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2CB2839A" w14:textId="77777777"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576F83A9" w14:textId="77777777"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14:paraId="6C1AC6A1" w14:textId="77777777"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5A42FF54" w14:textId="77777777"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574A28A2" w14:textId="77777777"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5305B700"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14:paraId="1D4A6746"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4A68ADF6" w14:textId="77777777"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CE6A5C9" w14:textId="77777777" w:rsidR="002B26CA" w:rsidRPr="00392968" w:rsidRDefault="002B26CA" w:rsidP="00392968">
      <w:pPr>
        <w:pStyle w:val="Bezodstpw"/>
        <w:spacing w:line="276" w:lineRule="auto"/>
        <w:rPr>
          <w:rFonts w:cstheme="minorHAnsi"/>
          <w:sz w:val="24"/>
          <w:szCs w:val="24"/>
        </w:rPr>
      </w:pPr>
    </w:p>
    <w:p w14:paraId="2772EDAF"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7F1507FF" w14:textId="77777777"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64E0AF08"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1AA7A73E" w14:textId="77777777" w:rsidR="002B26CA" w:rsidRPr="00392968" w:rsidRDefault="002B26CA" w:rsidP="00392968">
      <w:pPr>
        <w:pStyle w:val="Bezodstpw"/>
        <w:spacing w:line="276" w:lineRule="auto"/>
        <w:jc w:val="center"/>
        <w:rPr>
          <w:rFonts w:cstheme="minorHAnsi"/>
          <w:sz w:val="24"/>
          <w:szCs w:val="24"/>
        </w:rPr>
      </w:pPr>
    </w:p>
    <w:p w14:paraId="2CC7A721"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14:paraId="026359E9"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14:paraId="387CE69C"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14:paraId="2AA7B389"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14:paraId="7E9F5679" w14:textId="77777777" w:rsidR="00B33D75" w:rsidRPr="00392968" w:rsidRDefault="00B33D75" w:rsidP="00392968">
      <w:pPr>
        <w:pStyle w:val="Bezodstpw"/>
        <w:spacing w:line="276" w:lineRule="auto"/>
        <w:rPr>
          <w:rFonts w:cstheme="minorHAnsi"/>
          <w:sz w:val="24"/>
          <w:szCs w:val="24"/>
        </w:rPr>
      </w:pPr>
    </w:p>
    <w:p w14:paraId="41C559A4"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4B0CC1D1"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43745594"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lastRenderedPageBreak/>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6103E2C2" w14:textId="77777777"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6D1F1E11" w14:textId="77777777" w:rsidR="00B33D75" w:rsidRPr="00392968" w:rsidRDefault="00B33D75" w:rsidP="00392968">
      <w:pPr>
        <w:pStyle w:val="Bezodstpw"/>
        <w:spacing w:line="276" w:lineRule="auto"/>
        <w:rPr>
          <w:rFonts w:cstheme="minorHAnsi"/>
          <w:sz w:val="24"/>
          <w:szCs w:val="24"/>
        </w:rPr>
      </w:pPr>
    </w:p>
    <w:p w14:paraId="5DD15A1A"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437A6EE3"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4AFCD354"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04427B0" w14:textId="77777777" w:rsidR="00EE0442" w:rsidRPr="00392968" w:rsidRDefault="00EE0442" w:rsidP="00392968">
      <w:pPr>
        <w:pStyle w:val="Bezodstpw"/>
        <w:spacing w:line="276" w:lineRule="auto"/>
        <w:jc w:val="both"/>
        <w:rPr>
          <w:rFonts w:cstheme="minorHAnsi"/>
          <w:sz w:val="24"/>
          <w:szCs w:val="24"/>
        </w:rPr>
      </w:pPr>
    </w:p>
    <w:p w14:paraId="31B3738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4C643E7D"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3CBE1495"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6328636E"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F7B61DB" w14:textId="77777777" w:rsidR="00EE0442" w:rsidRPr="00392968" w:rsidRDefault="00EE0442" w:rsidP="00392968">
      <w:pPr>
        <w:pStyle w:val="Bezodstpw"/>
        <w:spacing w:line="276" w:lineRule="auto"/>
        <w:jc w:val="both"/>
        <w:rPr>
          <w:rFonts w:cstheme="minorHAnsi"/>
          <w:sz w:val="24"/>
          <w:szCs w:val="24"/>
        </w:rPr>
      </w:pPr>
    </w:p>
    <w:p w14:paraId="5B65E1CD" w14:textId="77777777"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6E946E1B"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14:paraId="4F50EC95"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6E90E3D2"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4780EB5F"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37D26D8F"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1EC1DCD2"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0E411DEA"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73254144" w14:textId="77777777" w:rsidR="00F07470" w:rsidRPr="00392968" w:rsidRDefault="00F07470" w:rsidP="00392968">
      <w:pPr>
        <w:pStyle w:val="Bezodstpw"/>
        <w:spacing w:line="276" w:lineRule="auto"/>
        <w:jc w:val="both"/>
        <w:rPr>
          <w:rFonts w:cstheme="minorHAnsi"/>
          <w:sz w:val="24"/>
          <w:szCs w:val="24"/>
        </w:rPr>
      </w:pPr>
    </w:p>
    <w:p w14:paraId="7745D4C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4D01832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r w:rsidR="004151B0">
        <w:rPr>
          <w:rFonts w:cstheme="minorHAnsi"/>
          <w:sz w:val="24"/>
          <w:szCs w:val="24"/>
        </w:rPr>
        <w:t>Pzp.</w:t>
      </w:r>
      <w:r w:rsidRPr="00392968">
        <w:rPr>
          <w:rFonts w:cstheme="minorHAnsi"/>
          <w:sz w:val="24"/>
          <w:szCs w:val="24"/>
        </w:rPr>
        <w:t xml:space="preserve"> </w:t>
      </w:r>
    </w:p>
    <w:p w14:paraId="4E106DEB"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r w:rsidR="00BC3ECC" w:rsidRPr="00392968">
        <w:rPr>
          <w:rFonts w:cstheme="minorHAnsi"/>
          <w:sz w:val="24"/>
          <w:szCs w:val="24"/>
        </w:rPr>
        <w:t>Pzp</w:t>
      </w:r>
      <w:r w:rsidRPr="00392968">
        <w:rPr>
          <w:rFonts w:cstheme="minorHAnsi"/>
          <w:sz w:val="24"/>
          <w:szCs w:val="24"/>
        </w:rPr>
        <w:t xml:space="preserve"> oraz Rzecznikowi Małych i Średnich Przedsiębiorców.</w:t>
      </w:r>
    </w:p>
    <w:p w14:paraId="67559D8C"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5A89E125"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768F27BF"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6CF4CC63"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0651D18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0BDEE5C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0120F72E"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68B75FEC"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5DE7D420"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21C1AA7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r w:rsidR="00C643BA">
        <w:rPr>
          <w:rFonts w:cstheme="minorHAnsi"/>
          <w:sz w:val="24"/>
          <w:szCs w:val="24"/>
        </w:rPr>
        <w:t>Pzp,</w:t>
      </w:r>
      <w:r w:rsidRPr="00392968">
        <w:rPr>
          <w:rFonts w:cstheme="minorHAnsi"/>
          <w:sz w:val="24"/>
          <w:szCs w:val="24"/>
        </w:rPr>
        <w:t xml:space="preserve"> stronom oraz uczestnikom postępowania odwoławczego przysługuje skarga do sądu.</w:t>
      </w:r>
    </w:p>
    <w:p w14:paraId="1DB46A39"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2D5BD6E3"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374F9590"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14:paraId="032979A7"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692CA1F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704E06E0" w14:textId="77777777" w:rsidR="000405C7" w:rsidRPr="00392968" w:rsidRDefault="000405C7" w:rsidP="00392968">
      <w:pPr>
        <w:pStyle w:val="Bezodstpw"/>
        <w:spacing w:line="276" w:lineRule="auto"/>
        <w:rPr>
          <w:rFonts w:cstheme="minorHAnsi"/>
          <w:sz w:val="24"/>
          <w:szCs w:val="24"/>
        </w:rPr>
      </w:pPr>
    </w:p>
    <w:p w14:paraId="7C6AAC2B"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14:paraId="235BE3EF" w14:textId="77777777"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2AB854D9" w14:textId="77777777" w:rsidTr="00597DAA">
        <w:tc>
          <w:tcPr>
            <w:tcW w:w="9062" w:type="dxa"/>
            <w:gridSpan w:val="2"/>
            <w:shd w:val="clear" w:color="auto" w:fill="auto"/>
          </w:tcPr>
          <w:p w14:paraId="17441A79"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204FF7A0" w14:textId="77777777" w:rsidTr="00597DAA">
        <w:tc>
          <w:tcPr>
            <w:tcW w:w="4531" w:type="dxa"/>
            <w:shd w:val="clear" w:color="auto" w:fill="auto"/>
          </w:tcPr>
          <w:p w14:paraId="7C9BC7D8"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7F4EA074"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066E6D11" w14:textId="77777777"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2"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14:paraId="555AE071"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1A6142E4"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3"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14:paraId="36DB83F3" w14:textId="77777777" w:rsidR="000405C7" w:rsidRPr="00392968" w:rsidRDefault="000405C7" w:rsidP="00392968">
      <w:pPr>
        <w:pStyle w:val="Bezodstpw"/>
        <w:spacing w:line="276" w:lineRule="auto"/>
        <w:rPr>
          <w:rFonts w:cstheme="minorHAnsi"/>
          <w:sz w:val="24"/>
          <w:szCs w:val="24"/>
        </w:rPr>
      </w:pPr>
    </w:p>
    <w:p w14:paraId="1E61DE6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2B9E59E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art. 6 ust. 1 lit c), art. 9 ust. 2 lit. g) i art. 10 RODO, w związku z ustawą z dnia 11 września 2019 r. Prawo zamówień publicznych i regulaminem udzielania </w:t>
      </w:r>
      <w:r w:rsidRPr="00392968">
        <w:rPr>
          <w:rFonts w:cstheme="minorHAnsi"/>
          <w:sz w:val="24"/>
          <w:szCs w:val="24"/>
        </w:rPr>
        <w:lastRenderedPageBreak/>
        <w:t>zamówień publicznych w celu realizacji obowiązku prawnego ciążącego na administratorze tj. udzielenia zamówienia publicznego,</w:t>
      </w:r>
    </w:p>
    <w:p w14:paraId="74EAF09D"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41DBC1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3C6486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8D557BC"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B93B4D8"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3C8D8B60"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1D28B19A"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3D321E9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46CD3351"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w:t>
      </w:r>
      <w:r w:rsidRPr="00392968">
        <w:rPr>
          <w:rFonts w:cstheme="minorHAnsi"/>
          <w:sz w:val="24"/>
          <w:szCs w:val="24"/>
        </w:rPr>
        <w:lastRenderedPageBreak/>
        <w:t>sprecyzowanie żądania, w szczególności podania nazwy lub daty postępowania o udzielenie zamówienia publicznego lub konkursu,</w:t>
      </w:r>
    </w:p>
    <w:p w14:paraId="493692CD"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4DAA9D49"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2560D90E"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0F73B845"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6570DBCC"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35AD0BCF"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4AAAD0DA"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161B0E12"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26F777F8"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7EC23E1B"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CD589E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2718DCCE"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7FDB9BF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26FBE186"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2807968A"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4627033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1B297E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lastRenderedPageBreak/>
        <w:t>Dane nie podlegają zautomatyzowanemu podejmowaniu decyzji, w tym również w formie profilowania</w:t>
      </w:r>
    </w:p>
    <w:p w14:paraId="1B7AC46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4FCE49F6" w14:textId="77777777" w:rsidR="00EE0442" w:rsidRPr="00392968" w:rsidRDefault="00EE0442" w:rsidP="00392968">
      <w:pPr>
        <w:pStyle w:val="Bezodstpw"/>
        <w:spacing w:line="276" w:lineRule="auto"/>
        <w:jc w:val="both"/>
        <w:rPr>
          <w:rFonts w:cstheme="minorHAnsi"/>
          <w:sz w:val="24"/>
          <w:szCs w:val="24"/>
        </w:rPr>
      </w:pPr>
    </w:p>
    <w:p w14:paraId="37F83D55" w14:textId="77777777"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4955ACFC"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14:paraId="76DA27D8" w14:textId="77777777" w:rsidR="00EE0442" w:rsidRPr="00392968" w:rsidRDefault="00EE0442" w:rsidP="00392968">
      <w:pPr>
        <w:pStyle w:val="Bezodstpw"/>
        <w:spacing w:line="276" w:lineRule="auto"/>
        <w:jc w:val="both"/>
        <w:rPr>
          <w:rFonts w:cstheme="minorHAnsi"/>
          <w:sz w:val="24"/>
          <w:szCs w:val="24"/>
        </w:rPr>
      </w:pPr>
    </w:p>
    <w:p w14:paraId="2A3783AE" w14:textId="77777777"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14:paraId="2EC36794" w14:textId="77777777"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14:paraId="1969698A" w14:textId="77777777"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7C02A5A0"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0C98EACE"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6174A817"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14:paraId="53617097" w14:textId="5E51E375"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14:paraId="068FF1B3" w14:textId="24E39715" w:rsidR="00C25970" w:rsidRPr="00BF5119" w:rsidRDefault="00C25970" w:rsidP="00BF5119">
      <w:pPr>
        <w:pStyle w:val="Bezodstpw"/>
        <w:numPr>
          <w:ilvl w:val="0"/>
          <w:numId w:val="39"/>
        </w:numPr>
        <w:spacing w:line="276" w:lineRule="auto"/>
        <w:rPr>
          <w:rFonts w:cstheme="minorHAnsi"/>
          <w:sz w:val="24"/>
          <w:szCs w:val="24"/>
        </w:rPr>
      </w:pPr>
      <w:r>
        <w:rPr>
          <w:rFonts w:cstheme="minorHAnsi"/>
          <w:sz w:val="24"/>
          <w:szCs w:val="24"/>
        </w:rPr>
        <w:t>Dokumentacja projektowa</w:t>
      </w:r>
    </w:p>
    <w:p w14:paraId="5C2942D2" w14:textId="77777777" w:rsidR="00EE0442" w:rsidRPr="00392968" w:rsidRDefault="00EE0442" w:rsidP="00392968">
      <w:pPr>
        <w:pStyle w:val="Bezodstpw"/>
        <w:spacing w:line="276" w:lineRule="auto"/>
        <w:rPr>
          <w:rFonts w:cstheme="minorHAnsi"/>
          <w:sz w:val="24"/>
          <w:szCs w:val="24"/>
        </w:rPr>
      </w:pPr>
    </w:p>
    <w:p w14:paraId="35F556B2" w14:textId="77777777"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45C5B" w14:textId="77777777" w:rsidR="00054576" w:rsidRDefault="00054576" w:rsidP="002B6E3C">
      <w:pPr>
        <w:spacing w:after="0" w:line="240" w:lineRule="auto"/>
      </w:pPr>
      <w:r>
        <w:separator/>
      </w:r>
    </w:p>
  </w:endnote>
  <w:endnote w:type="continuationSeparator" w:id="0">
    <w:p w14:paraId="1F51DED3" w14:textId="77777777" w:rsidR="00054576" w:rsidRDefault="00054576"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87EC526"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C0332B">
              <w:rPr>
                <w:noProof/>
                <w:sz w:val="20"/>
                <w:szCs w:val="20"/>
              </w:rPr>
              <w:t>17</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C0332B">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A94D9" w14:textId="77777777" w:rsidR="00054576" w:rsidRDefault="00054576" w:rsidP="002B6E3C">
      <w:pPr>
        <w:spacing w:after="0" w:line="240" w:lineRule="auto"/>
      </w:pPr>
      <w:r>
        <w:separator/>
      </w:r>
    </w:p>
  </w:footnote>
  <w:footnote w:type="continuationSeparator" w:id="0">
    <w:p w14:paraId="0ACF8E9D" w14:textId="77777777" w:rsidR="00054576" w:rsidRDefault="00054576" w:rsidP="002B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649E" w14:textId="24F8617D"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687DF3FA" wp14:editId="4305A06D">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Pr="00A100DC">
      <w:rPr>
        <w:rFonts w:ascii="Calibri" w:hAnsi="Calibri" w:cs="Calibri"/>
        <w:sz w:val="24"/>
        <w:szCs w:val="24"/>
        <w:u w:val="single"/>
      </w:rPr>
      <w:t>______________________Znak sprawy: RIT.271.2.</w:t>
    </w:r>
    <w:r w:rsidR="0007344A">
      <w:rPr>
        <w:rFonts w:ascii="Calibri" w:hAnsi="Calibri" w:cs="Calibri"/>
        <w:sz w:val="24"/>
        <w:szCs w:val="24"/>
        <w:u w:val="single"/>
      </w:rPr>
      <w:t>9</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AA6A43"/>
    <w:multiLevelType w:val="hybridMultilevel"/>
    <w:tmpl w:val="E19A7502"/>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1"/>
  </w:num>
  <w:num w:numId="3">
    <w:abstractNumId w:val="20"/>
  </w:num>
  <w:num w:numId="4">
    <w:abstractNumId w:val="13"/>
  </w:num>
  <w:num w:numId="5">
    <w:abstractNumId w:val="3"/>
  </w:num>
  <w:num w:numId="6">
    <w:abstractNumId w:val="0"/>
  </w:num>
  <w:num w:numId="7">
    <w:abstractNumId w:val="28"/>
  </w:num>
  <w:num w:numId="8">
    <w:abstractNumId w:val="41"/>
  </w:num>
  <w:num w:numId="9">
    <w:abstractNumId w:val="8"/>
  </w:num>
  <w:num w:numId="10">
    <w:abstractNumId w:val="10"/>
  </w:num>
  <w:num w:numId="11">
    <w:abstractNumId w:val="7"/>
  </w:num>
  <w:num w:numId="12">
    <w:abstractNumId w:val="44"/>
  </w:num>
  <w:num w:numId="13">
    <w:abstractNumId w:val="32"/>
  </w:num>
  <w:num w:numId="14">
    <w:abstractNumId w:val="29"/>
  </w:num>
  <w:num w:numId="15">
    <w:abstractNumId w:val="53"/>
  </w:num>
  <w:num w:numId="16">
    <w:abstractNumId w:val="40"/>
  </w:num>
  <w:num w:numId="17">
    <w:abstractNumId w:val="42"/>
  </w:num>
  <w:num w:numId="18">
    <w:abstractNumId w:val="33"/>
  </w:num>
  <w:num w:numId="19">
    <w:abstractNumId w:val="21"/>
  </w:num>
  <w:num w:numId="20">
    <w:abstractNumId w:val="51"/>
  </w:num>
  <w:num w:numId="21">
    <w:abstractNumId w:val="50"/>
  </w:num>
  <w:num w:numId="22">
    <w:abstractNumId w:val="35"/>
  </w:num>
  <w:num w:numId="23">
    <w:abstractNumId w:val="39"/>
  </w:num>
  <w:num w:numId="24">
    <w:abstractNumId w:val="12"/>
  </w:num>
  <w:num w:numId="25">
    <w:abstractNumId w:val="18"/>
  </w:num>
  <w:num w:numId="26">
    <w:abstractNumId w:val="45"/>
  </w:num>
  <w:num w:numId="27">
    <w:abstractNumId w:val="15"/>
  </w:num>
  <w:num w:numId="28">
    <w:abstractNumId w:val="37"/>
  </w:num>
  <w:num w:numId="29">
    <w:abstractNumId w:val="30"/>
  </w:num>
  <w:num w:numId="30">
    <w:abstractNumId w:val="34"/>
  </w:num>
  <w:num w:numId="31">
    <w:abstractNumId w:val="9"/>
  </w:num>
  <w:num w:numId="32">
    <w:abstractNumId w:val="23"/>
  </w:num>
  <w:num w:numId="33">
    <w:abstractNumId w:val="27"/>
  </w:num>
  <w:num w:numId="34">
    <w:abstractNumId w:val="17"/>
  </w:num>
  <w:num w:numId="35">
    <w:abstractNumId w:val="22"/>
  </w:num>
  <w:num w:numId="36">
    <w:abstractNumId w:val="47"/>
  </w:num>
  <w:num w:numId="37">
    <w:abstractNumId w:val="38"/>
  </w:num>
  <w:num w:numId="38">
    <w:abstractNumId w:val="19"/>
  </w:num>
  <w:num w:numId="39">
    <w:abstractNumId w:val="6"/>
  </w:num>
  <w:num w:numId="40">
    <w:abstractNumId w:val="26"/>
  </w:num>
  <w:num w:numId="41">
    <w:abstractNumId w:val="24"/>
  </w:num>
  <w:num w:numId="42">
    <w:abstractNumId w:val="43"/>
  </w:num>
  <w:num w:numId="43">
    <w:abstractNumId w:val="4"/>
  </w:num>
  <w:num w:numId="44">
    <w:abstractNumId w:val="46"/>
  </w:num>
  <w:num w:numId="45">
    <w:abstractNumId w:val="1"/>
  </w:num>
  <w:num w:numId="46">
    <w:abstractNumId w:val="16"/>
  </w:num>
  <w:num w:numId="47">
    <w:abstractNumId w:val="36"/>
  </w:num>
  <w:num w:numId="48">
    <w:abstractNumId w:val="25"/>
  </w:num>
  <w:num w:numId="49">
    <w:abstractNumId w:val="5"/>
  </w:num>
  <w:num w:numId="50">
    <w:abstractNumId w:val="14"/>
  </w:num>
  <w:num w:numId="51">
    <w:abstractNumId w:val="52"/>
  </w:num>
  <w:num w:numId="52">
    <w:abstractNumId w:val="31"/>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416B"/>
    <w:rsid w:val="000146B8"/>
    <w:rsid w:val="0002127B"/>
    <w:rsid w:val="00033951"/>
    <w:rsid w:val="000405C7"/>
    <w:rsid w:val="00052A69"/>
    <w:rsid w:val="00054576"/>
    <w:rsid w:val="00057861"/>
    <w:rsid w:val="0007344A"/>
    <w:rsid w:val="00073F11"/>
    <w:rsid w:val="000C5DF3"/>
    <w:rsid w:val="000D0FA6"/>
    <w:rsid w:val="000E0A4F"/>
    <w:rsid w:val="00117829"/>
    <w:rsid w:val="001264BF"/>
    <w:rsid w:val="001275F6"/>
    <w:rsid w:val="00135EEF"/>
    <w:rsid w:val="0013643B"/>
    <w:rsid w:val="00142899"/>
    <w:rsid w:val="00151535"/>
    <w:rsid w:val="001900B2"/>
    <w:rsid w:val="0019142C"/>
    <w:rsid w:val="001B1905"/>
    <w:rsid w:val="001F0E83"/>
    <w:rsid w:val="001F64C5"/>
    <w:rsid w:val="0021548B"/>
    <w:rsid w:val="002158F5"/>
    <w:rsid w:val="00277E24"/>
    <w:rsid w:val="002B26CA"/>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3E81"/>
    <w:rsid w:val="003D0D51"/>
    <w:rsid w:val="003D2CF5"/>
    <w:rsid w:val="003E15B2"/>
    <w:rsid w:val="003E59FD"/>
    <w:rsid w:val="00402022"/>
    <w:rsid w:val="004151B0"/>
    <w:rsid w:val="00425EAF"/>
    <w:rsid w:val="00432B11"/>
    <w:rsid w:val="004444D5"/>
    <w:rsid w:val="00461507"/>
    <w:rsid w:val="00474D4B"/>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8511D"/>
    <w:rsid w:val="00597DAA"/>
    <w:rsid w:val="005B44AE"/>
    <w:rsid w:val="005C1D7E"/>
    <w:rsid w:val="005C6B07"/>
    <w:rsid w:val="005D1038"/>
    <w:rsid w:val="006A4EF5"/>
    <w:rsid w:val="006B7701"/>
    <w:rsid w:val="006E49D1"/>
    <w:rsid w:val="006F4A8B"/>
    <w:rsid w:val="00714DEC"/>
    <w:rsid w:val="007178C3"/>
    <w:rsid w:val="0072788E"/>
    <w:rsid w:val="00732956"/>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8037E4"/>
    <w:rsid w:val="00807271"/>
    <w:rsid w:val="008206D2"/>
    <w:rsid w:val="00830C8D"/>
    <w:rsid w:val="00850465"/>
    <w:rsid w:val="0085551E"/>
    <w:rsid w:val="00861D53"/>
    <w:rsid w:val="00865B84"/>
    <w:rsid w:val="008668A7"/>
    <w:rsid w:val="00883E71"/>
    <w:rsid w:val="008870C8"/>
    <w:rsid w:val="008B01BA"/>
    <w:rsid w:val="008B4179"/>
    <w:rsid w:val="008D420A"/>
    <w:rsid w:val="008E4695"/>
    <w:rsid w:val="0090074D"/>
    <w:rsid w:val="00906365"/>
    <w:rsid w:val="00926B85"/>
    <w:rsid w:val="0094386F"/>
    <w:rsid w:val="009565AF"/>
    <w:rsid w:val="009611B7"/>
    <w:rsid w:val="0096190A"/>
    <w:rsid w:val="00967A8B"/>
    <w:rsid w:val="009723D8"/>
    <w:rsid w:val="009858AE"/>
    <w:rsid w:val="00993DFF"/>
    <w:rsid w:val="009A5E3E"/>
    <w:rsid w:val="00A04547"/>
    <w:rsid w:val="00A100DC"/>
    <w:rsid w:val="00A11CDE"/>
    <w:rsid w:val="00A24E4F"/>
    <w:rsid w:val="00A2569A"/>
    <w:rsid w:val="00A30FA8"/>
    <w:rsid w:val="00A96721"/>
    <w:rsid w:val="00AB0F77"/>
    <w:rsid w:val="00AE709A"/>
    <w:rsid w:val="00AE7F69"/>
    <w:rsid w:val="00AF5655"/>
    <w:rsid w:val="00B066B0"/>
    <w:rsid w:val="00B06F15"/>
    <w:rsid w:val="00B15B1C"/>
    <w:rsid w:val="00B33D75"/>
    <w:rsid w:val="00B62F42"/>
    <w:rsid w:val="00BA3324"/>
    <w:rsid w:val="00BA6FCE"/>
    <w:rsid w:val="00BB357D"/>
    <w:rsid w:val="00BB76A2"/>
    <w:rsid w:val="00BC04E2"/>
    <w:rsid w:val="00BC3ECC"/>
    <w:rsid w:val="00BF5119"/>
    <w:rsid w:val="00C0332B"/>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C1F60"/>
    <w:rsid w:val="00CD4EA2"/>
    <w:rsid w:val="00CE3E7F"/>
    <w:rsid w:val="00CE545D"/>
    <w:rsid w:val="00D20F1C"/>
    <w:rsid w:val="00D519D0"/>
    <w:rsid w:val="00D60581"/>
    <w:rsid w:val="00D73A9E"/>
    <w:rsid w:val="00D92532"/>
    <w:rsid w:val="00DA3ACE"/>
    <w:rsid w:val="00DA4E2A"/>
    <w:rsid w:val="00DA71D1"/>
    <w:rsid w:val="00DB762C"/>
    <w:rsid w:val="00DB7EFF"/>
    <w:rsid w:val="00DD05F4"/>
    <w:rsid w:val="00DD06DD"/>
    <w:rsid w:val="00DE1061"/>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microsoft.com/office/2007/relationships/stylesWithEffects" Target="stylesWithEffect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2835-91E5-488E-9F3D-ED018FA3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7439</Words>
  <Characters>44635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2023-02-27T13:39:00Z</cp:lastPrinted>
  <dcterms:created xsi:type="dcterms:W3CDTF">2023-03-15T12:10:00Z</dcterms:created>
  <dcterms:modified xsi:type="dcterms:W3CDTF">2023-03-15T12:10:00Z</dcterms:modified>
</cp:coreProperties>
</file>