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EA1AFB">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EA1AFB" w:rsidRPr="00EA1AFB" w:rsidRDefault="00EA1AFB" w:rsidP="00EA1AFB">
      <w:pPr>
        <w:jc w:val="center"/>
        <w:rPr>
          <w:rFonts w:asciiTheme="minorHAnsi" w:hAnsiTheme="minorHAnsi" w:cstheme="minorHAnsi"/>
          <w:b/>
          <w:sz w:val="24"/>
        </w:rPr>
      </w:pPr>
      <w:r w:rsidRPr="00EA1AFB">
        <w:rPr>
          <w:rFonts w:asciiTheme="minorHAnsi" w:hAnsiTheme="minorHAnsi" w:cstheme="minorHAnsi"/>
          <w:b/>
          <w:sz w:val="24"/>
        </w:rPr>
        <w:t xml:space="preserve">„Remont chodnika w miejscowości Mała Nieszawka i Wielka Nieszawka” </w:t>
      </w:r>
    </w:p>
    <w:p w:rsidR="00EE0442" w:rsidRPr="005E1E3C" w:rsidRDefault="00EE0442" w:rsidP="00BD6795">
      <w:pPr>
        <w:pStyle w:val="Bezodstpw"/>
        <w:spacing w:line="276" w:lineRule="auto"/>
        <w:rPr>
          <w:sz w:val="24"/>
          <w:szCs w:val="24"/>
        </w:rPr>
      </w:pPr>
    </w:p>
    <w:p w:rsidR="00EE0442" w:rsidRPr="005E1E3C" w:rsidRDefault="00EE0442" w:rsidP="00C85509">
      <w:pPr>
        <w:pStyle w:val="Bezodstpw"/>
        <w:spacing w:line="276" w:lineRule="auto"/>
        <w:jc w:val="center"/>
        <w:rPr>
          <w:b/>
          <w:bCs/>
          <w:sz w:val="24"/>
          <w:szCs w:val="24"/>
        </w:rPr>
      </w:pPr>
      <w:r w:rsidRPr="005E1E3C">
        <w:rPr>
          <w:b/>
          <w:bCs/>
          <w:sz w:val="24"/>
          <w:szCs w:val="24"/>
        </w:rPr>
        <w:t>§ 1</w:t>
      </w:r>
    </w:p>
    <w:p w:rsidR="00EE0442" w:rsidRPr="005E1E3C" w:rsidRDefault="00EE0442" w:rsidP="007C448E">
      <w:pPr>
        <w:pStyle w:val="Bezodstpw"/>
        <w:spacing w:line="276" w:lineRule="auto"/>
        <w:jc w:val="both"/>
        <w:rPr>
          <w:sz w:val="24"/>
          <w:szCs w:val="24"/>
        </w:rPr>
      </w:pPr>
      <w:r w:rsidRPr="005E1E3C">
        <w:rPr>
          <w:sz w:val="24"/>
          <w:szCs w:val="24"/>
        </w:rPr>
        <w:t xml:space="preserve">Przedmiot zamówienia obejmuje w szczególności: </w:t>
      </w:r>
    </w:p>
    <w:p w:rsidR="00EA1AFB" w:rsidRPr="003108E3" w:rsidRDefault="00EA1AFB" w:rsidP="0071210B">
      <w:pPr>
        <w:pStyle w:val="Akapitzlist"/>
        <w:numPr>
          <w:ilvl w:val="0"/>
          <w:numId w:val="38"/>
        </w:numPr>
      </w:pPr>
      <w:r w:rsidRPr="003108E3">
        <w:t>Przedmiotem zamówienia jest remont</w:t>
      </w:r>
      <w:r>
        <w:t xml:space="preserve"> chodnika</w:t>
      </w:r>
      <w:r w:rsidRPr="003108E3">
        <w:t xml:space="preserve"> w ciągu ulicy Toruńskiej (DW 273), </w:t>
      </w:r>
      <w:r>
        <w:br/>
      </w:r>
      <w:r w:rsidRPr="003108E3">
        <w:t>w miejscowości Wielka Nieszawka oraz Mała Nieszawka</w:t>
      </w:r>
      <w:r>
        <w:t xml:space="preserve"> poprzez wykonanie robót polegających na modernizacji jego podbudowy i nawierzchni,</w:t>
      </w:r>
      <w:r w:rsidRPr="00A2046B">
        <w:rPr>
          <w:rFonts w:cs="Calibri"/>
        </w:rPr>
        <w:t xml:space="preserve"> </w:t>
      </w:r>
      <w:r>
        <w:rPr>
          <w:rFonts w:cs="Calibri"/>
        </w:rPr>
        <w:t xml:space="preserve">w </w:t>
      </w:r>
      <w:r w:rsidRPr="00756C77">
        <w:rPr>
          <w:rFonts w:cs="Calibri"/>
        </w:rPr>
        <w:t>oparciu o ofertowe ceny jednostkowe za wykonanie 1 m</w:t>
      </w:r>
      <w:r w:rsidRPr="00A2046B">
        <w:rPr>
          <w:rFonts w:cs="Calibri"/>
          <w:vertAlign w:val="superscript"/>
        </w:rPr>
        <w:t>2</w:t>
      </w:r>
      <w:r w:rsidRPr="003108E3">
        <w:t>, na następujących odcinkach:</w:t>
      </w:r>
    </w:p>
    <w:p w:rsidR="00EA1AFB" w:rsidRPr="003108E3" w:rsidRDefault="00EA1AFB" w:rsidP="0071210B">
      <w:pPr>
        <w:pStyle w:val="Akapitzlist"/>
        <w:numPr>
          <w:ilvl w:val="0"/>
          <w:numId w:val="41"/>
        </w:numPr>
        <w:rPr>
          <w:vertAlign w:val="superscript"/>
        </w:rPr>
      </w:pPr>
      <w:r w:rsidRPr="003108E3">
        <w:t>Mała Nieszawka, od ulicy Bocianiej do ulicy Widok, powierzchnia ok. 110 m</w:t>
      </w:r>
      <w:r w:rsidRPr="003108E3">
        <w:rPr>
          <w:vertAlign w:val="superscript"/>
        </w:rPr>
        <w:t>2</w:t>
      </w:r>
    </w:p>
    <w:p w:rsidR="00EA1AFB" w:rsidRPr="003108E3" w:rsidRDefault="00EA1AFB" w:rsidP="0071210B">
      <w:pPr>
        <w:pStyle w:val="Akapitzlist"/>
        <w:numPr>
          <w:ilvl w:val="0"/>
          <w:numId w:val="41"/>
        </w:numPr>
      </w:pPr>
      <w:r w:rsidRPr="003108E3">
        <w:t>Wielka Nieszawka, od ulicy Toruńskiej nr 35 do nr 51, powierzchnia ok. 330 m</w:t>
      </w:r>
      <w:r w:rsidRPr="003108E3">
        <w:rPr>
          <w:vertAlign w:val="superscript"/>
        </w:rPr>
        <w:t>2</w:t>
      </w:r>
    </w:p>
    <w:p w:rsidR="00EA1AFB" w:rsidRPr="003108E3" w:rsidRDefault="00EA1AFB" w:rsidP="0071210B">
      <w:pPr>
        <w:pStyle w:val="Akapitzlist"/>
        <w:numPr>
          <w:ilvl w:val="0"/>
          <w:numId w:val="41"/>
        </w:numPr>
        <w:rPr>
          <w:b/>
          <w:color w:val="FF0000"/>
        </w:rPr>
      </w:pPr>
      <w:r w:rsidRPr="003108E3">
        <w:t>Wielka Nieszawka, od ul. Sowiej do Toruńskiej nr 98, powierzchnia ok. 220 m</w:t>
      </w:r>
      <w:r w:rsidRPr="003108E3">
        <w:rPr>
          <w:vertAlign w:val="superscript"/>
        </w:rPr>
        <w:t>2</w:t>
      </w:r>
    </w:p>
    <w:p w:rsidR="00EA1AFB" w:rsidRPr="00AA084D" w:rsidRDefault="00EA1AFB" w:rsidP="0071210B">
      <w:pPr>
        <w:pStyle w:val="Akapitzlist"/>
        <w:numPr>
          <w:ilvl w:val="0"/>
          <w:numId w:val="38"/>
        </w:numPr>
        <w:jc w:val="both"/>
        <w:rPr>
          <w:szCs w:val="24"/>
        </w:rPr>
      </w:pPr>
      <w:r>
        <w:rPr>
          <w:szCs w:val="24"/>
        </w:rPr>
        <w:t>Zakres robót</w:t>
      </w:r>
      <w:r w:rsidRPr="00AA084D">
        <w:rPr>
          <w:szCs w:val="24"/>
        </w:rPr>
        <w:t xml:space="preserve"> obejmuje</w:t>
      </w:r>
      <w:r>
        <w:rPr>
          <w:szCs w:val="24"/>
        </w:rPr>
        <w:t xml:space="preserve"> w szczególności</w:t>
      </w:r>
      <w:r w:rsidRPr="00AA084D">
        <w:rPr>
          <w:szCs w:val="24"/>
        </w:rPr>
        <w:t xml:space="preserve">: </w:t>
      </w:r>
    </w:p>
    <w:p w:rsidR="00EA1AFB" w:rsidRPr="003E1FEF" w:rsidRDefault="00EA1AFB" w:rsidP="0071210B">
      <w:pPr>
        <w:pStyle w:val="Akapitzlist"/>
        <w:numPr>
          <w:ilvl w:val="1"/>
          <w:numId w:val="39"/>
        </w:numPr>
        <w:spacing w:after="0"/>
        <w:rPr>
          <w:szCs w:val="24"/>
        </w:rPr>
      </w:pPr>
      <w:r w:rsidRPr="003E1FEF">
        <w:rPr>
          <w:szCs w:val="24"/>
        </w:rPr>
        <w:t>Roboty przygotowawcze i rozbiórkowe.</w:t>
      </w:r>
    </w:p>
    <w:p w:rsidR="00EA1AFB" w:rsidRPr="003E1FEF" w:rsidRDefault="00EA1AFB" w:rsidP="0071210B">
      <w:pPr>
        <w:pStyle w:val="Akapitzlist"/>
        <w:numPr>
          <w:ilvl w:val="1"/>
          <w:numId w:val="39"/>
        </w:numPr>
        <w:spacing w:after="0"/>
        <w:jc w:val="both"/>
        <w:rPr>
          <w:szCs w:val="24"/>
        </w:rPr>
      </w:pPr>
      <w:r w:rsidRPr="003E1FEF">
        <w:rPr>
          <w:szCs w:val="24"/>
        </w:rPr>
        <w:t>Rozebranie uszkodzonej części chodnika z oczyszczeniem i posortowaniem materiału uzyskanego z rozbiórki.</w:t>
      </w:r>
    </w:p>
    <w:p w:rsidR="00EA1AFB" w:rsidRPr="003E1FEF" w:rsidRDefault="00EA1AFB" w:rsidP="0071210B">
      <w:pPr>
        <w:pStyle w:val="Akapitzlist"/>
        <w:numPr>
          <w:ilvl w:val="1"/>
          <w:numId w:val="39"/>
        </w:numPr>
        <w:spacing w:after="0"/>
        <w:rPr>
          <w:szCs w:val="24"/>
        </w:rPr>
      </w:pPr>
      <w:r w:rsidRPr="003E1FEF">
        <w:rPr>
          <w:szCs w:val="24"/>
        </w:rPr>
        <w:t>Ponowne ustawienie oporników betonowych na ławie betonowej.</w:t>
      </w:r>
    </w:p>
    <w:p w:rsidR="00EA1AFB" w:rsidRPr="003E1FEF" w:rsidRDefault="00EA1AFB" w:rsidP="0071210B">
      <w:pPr>
        <w:pStyle w:val="Akapitzlist"/>
        <w:numPr>
          <w:ilvl w:val="1"/>
          <w:numId w:val="39"/>
        </w:numPr>
        <w:spacing w:after="0"/>
        <w:rPr>
          <w:szCs w:val="24"/>
        </w:rPr>
      </w:pPr>
      <w:r w:rsidRPr="003E1FEF">
        <w:rPr>
          <w:szCs w:val="24"/>
        </w:rPr>
        <w:t xml:space="preserve">Naprawę podbudowy z zastosowaniem </w:t>
      </w:r>
      <w:r>
        <w:rPr>
          <w:szCs w:val="24"/>
        </w:rPr>
        <w:t xml:space="preserve">nw. </w:t>
      </w:r>
      <w:r w:rsidRPr="003E1FEF">
        <w:rPr>
          <w:szCs w:val="24"/>
        </w:rPr>
        <w:t>warstw:</w:t>
      </w:r>
    </w:p>
    <w:p w:rsidR="00EA1AFB" w:rsidRPr="003E1FEF" w:rsidRDefault="00EA1AFB" w:rsidP="0071210B">
      <w:pPr>
        <w:pStyle w:val="Akapitzlist"/>
        <w:numPr>
          <w:ilvl w:val="0"/>
          <w:numId w:val="40"/>
        </w:numPr>
        <w:spacing w:after="0"/>
        <w:rPr>
          <w:szCs w:val="24"/>
        </w:rPr>
      </w:pPr>
      <w:r>
        <w:rPr>
          <w:szCs w:val="24"/>
        </w:rPr>
        <w:t xml:space="preserve">Kostka betonowa – zamawiający przekaże wykonawcy kostkę betonową; wykonawca przetransportuje oczyszczony materiał z rozbiórki w miejsce </w:t>
      </w:r>
      <w:r>
        <w:rPr>
          <w:szCs w:val="24"/>
        </w:rPr>
        <w:lastRenderedPageBreak/>
        <w:t>wskazane przez zamawiającego (PSZOK przy siedzibie zamawiającego) i pobierze nową kostkę celem jej wbudowania.</w:t>
      </w:r>
    </w:p>
    <w:p w:rsidR="00EA1AFB" w:rsidRPr="003E1FEF" w:rsidRDefault="00EA1AFB" w:rsidP="0071210B">
      <w:pPr>
        <w:pStyle w:val="Akapitzlist"/>
        <w:numPr>
          <w:ilvl w:val="0"/>
          <w:numId w:val="40"/>
        </w:numPr>
        <w:spacing w:after="0"/>
        <w:rPr>
          <w:szCs w:val="24"/>
        </w:rPr>
      </w:pPr>
      <w:r w:rsidRPr="003E1FEF">
        <w:rPr>
          <w:szCs w:val="24"/>
        </w:rPr>
        <w:t>Podsypka cementowo</w:t>
      </w:r>
      <w:r>
        <w:rPr>
          <w:szCs w:val="24"/>
        </w:rPr>
        <w:t>-</w:t>
      </w:r>
      <w:r w:rsidRPr="003E1FEF">
        <w:rPr>
          <w:szCs w:val="24"/>
        </w:rPr>
        <w:t xml:space="preserve"> piaskowa frakcji do 2 mm gr</w:t>
      </w:r>
      <w:r>
        <w:rPr>
          <w:szCs w:val="24"/>
        </w:rPr>
        <w:t>.</w:t>
      </w:r>
      <w:r w:rsidRPr="003E1FEF">
        <w:rPr>
          <w:szCs w:val="24"/>
        </w:rPr>
        <w:t xml:space="preserve"> 3 - 5 cm.</w:t>
      </w:r>
    </w:p>
    <w:p w:rsidR="00EA1AFB" w:rsidRPr="003E1FEF" w:rsidRDefault="00EA1AFB" w:rsidP="0071210B">
      <w:pPr>
        <w:pStyle w:val="Akapitzlist"/>
        <w:numPr>
          <w:ilvl w:val="0"/>
          <w:numId w:val="40"/>
        </w:numPr>
        <w:spacing w:after="0"/>
        <w:rPr>
          <w:szCs w:val="24"/>
        </w:rPr>
      </w:pPr>
      <w:r w:rsidRPr="003E1FEF">
        <w:rPr>
          <w:szCs w:val="24"/>
        </w:rPr>
        <w:t>Tłuczeń lub gruz betonowy frakcja 4 - 16 mm  gr. 10 cm.</w:t>
      </w:r>
    </w:p>
    <w:p w:rsidR="00EA1AFB" w:rsidRPr="003E1FEF" w:rsidRDefault="00EA1AFB" w:rsidP="0071210B">
      <w:pPr>
        <w:pStyle w:val="Akapitzlist"/>
        <w:numPr>
          <w:ilvl w:val="0"/>
          <w:numId w:val="40"/>
        </w:numPr>
        <w:spacing w:after="0"/>
        <w:rPr>
          <w:szCs w:val="24"/>
        </w:rPr>
      </w:pPr>
      <w:r w:rsidRPr="003E1FEF">
        <w:rPr>
          <w:szCs w:val="24"/>
        </w:rPr>
        <w:t>Tłuczeń lub gruz betonowy frakcji 16 - 36 mm gr. 15 cm. </w:t>
      </w:r>
    </w:p>
    <w:p w:rsidR="00EA1AFB" w:rsidRPr="007414BE" w:rsidRDefault="00EA1AFB" w:rsidP="0071210B">
      <w:pPr>
        <w:pStyle w:val="Akapitzlist2"/>
        <w:numPr>
          <w:ilvl w:val="1"/>
          <w:numId w:val="39"/>
        </w:numPr>
        <w:tabs>
          <w:tab w:val="left" w:pos="426"/>
        </w:tabs>
        <w:jc w:val="both"/>
        <w:rPr>
          <w:rFonts w:asciiTheme="minorHAnsi" w:hAnsiTheme="minorHAnsi" w:cstheme="minorHAnsi"/>
          <w:sz w:val="24"/>
          <w:szCs w:val="24"/>
        </w:rPr>
      </w:pPr>
      <w:r>
        <w:rPr>
          <w:rFonts w:asciiTheme="minorHAnsi" w:hAnsiTheme="minorHAnsi" w:cstheme="minorHAnsi"/>
          <w:sz w:val="24"/>
          <w:szCs w:val="24"/>
        </w:rPr>
        <w:t>Uporządkowanie terenu po wykonanych pracach.</w:t>
      </w:r>
    </w:p>
    <w:p w:rsidR="007F4047" w:rsidRPr="005E1E3C" w:rsidRDefault="007F4047" w:rsidP="007C448E">
      <w:pPr>
        <w:pStyle w:val="Bezodstpw"/>
        <w:numPr>
          <w:ilvl w:val="0"/>
          <w:numId w:val="1"/>
        </w:numPr>
        <w:spacing w:line="276" w:lineRule="auto"/>
        <w:jc w:val="both"/>
        <w:rPr>
          <w:sz w:val="24"/>
          <w:szCs w:val="24"/>
        </w:rPr>
      </w:pPr>
      <w:r w:rsidRPr="005E1E3C">
        <w:rPr>
          <w:sz w:val="24"/>
          <w:szCs w:val="24"/>
        </w:rPr>
        <w:t>Roboty należy wykonać zgodnie ze sztuką budowlaną</w:t>
      </w:r>
      <w:r w:rsidR="00EA1AFB">
        <w:rPr>
          <w:sz w:val="24"/>
          <w:szCs w:val="24"/>
        </w:rPr>
        <w:t>.</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71210B">
      <w:pPr>
        <w:pStyle w:val="Bezodstpw"/>
        <w:numPr>
          <w:ilvl w:val="0"/>
          <w:numId w:val="2"/>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71210B">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71210B">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71210B">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EE6CB2" w:rsidRDefault="00EE0442" w:rsidP="007C448E">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 xml:space="preserve">przez cały okres realizacji przedmiotu zamówienia, osób wykonujących </w:t>
      </w:r>
      <w:r w:rsidR="00EA1AFB">
        <w:rPr>
          <w:sz w:val="24"/>
          <w:szCs w:val="24"/>
        </w:rPr>
        <w:t>wszelkie</w:t>
      </w:r>
      <w:r w:rsidRPr="00EE6CB2">
        <w:rPr>
          <w:sz w:val="24"/>
          <w:szCs w:val="24"/>
        </w:rPr>
        <w:t xml:space="preserve"> czynności związane z robotami budowlanymi w trakcie realizacji przedmiotu zamówienia</w:t>
      </w:r>
      <w:r w:rsidR="00EA1AFB">
        <w:rPr>
          <w:sz w:val="24"/>
          <w:szCs w:val="24"/>
        </w:rPr>
        <w:t>.</w:t>
      </w:r>
    </w:p>
    <w:p w:rsidR="00C85509" w:rsidRPr="00EE6CB2" w:rsidRDefault="00EE0442" w:rsidP="007C448E">
      <w:pPr>
        <w:pStyle w:val="Bezodstpw"/>
        <w:numPr>
          <w:ilvl w:val="0"/>
          <w:numId w:val="1"/>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71210B">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w:t>
      </w:r>
      <w:r w:rsidRPr="005E1E3C">
        <w:rPr>
          <w:sz w:val="24"/>
          <w:szCs w:val="24"/>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t>
      </w:r>
      <w:r w:rsidRPr="005E1E3C">
        <w:rPr>
          <w:sz w:val="24"/>
          <w:szCs w:val="24"/>
        </w:rPr>
        <w:lastRenderedPageBreak/>
        <w:t xml:space="preserve">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71210B">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71210B">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71210B">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rsidR="009B0630" w:rsidRDefault="00EE0442" w:rsidP="0071210B">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71210B">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 xml:space="preserve">ust. 2, nie jest wymagane, jeżeli Zamawiający i wykonawca określili w umowie, zawartej w formie pisemnej pod rygorem nieważności, szczegółowy przedmiot robót budowlanych wykonywanych przez </w:t>
      </w:r>
      <w:r w:rsidRPr="005E1E3C">
        <w:rPr>
          <w:sz w:val="24"/>
          <w:szCs w:val="24"/>
        </w:rPr>
        <w:lastRenderedPageBreak/>
        <w:t>oznaczonego podwykonawcę. Zgłoszenie oraz sprzeciw, wymagają zachowania formy pisemnej pod rygorem nieważności.</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 xml:space="preserve">h robót </w:t>
      </w:r>
      <w:r w:rsidR="003E0033" w:rsidRPr="005E1E3C">
        <w:rPr>
          <w:sz w:val="24"/>
          <w:szCs w:val="24"/>
        </w:rPr>
        <w:lastRenderedPageBreak/>
        <w:t>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71210B">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w:t>
      </w:r>
      <w:r w:rsidRPr="005E1E3C">
        <w:rPr>
          <w:sz w:val="24"/>
          <w:szCs w:val="24"/>
        </w:rPr>
        <w:lastRenderedPageBreak/>
        <w:t>późniejszy niż 45 dni przed terminem wymagalności należności dla Wykonawcy wynikającej z faktury końcowej;</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W przypadku stosowania przez wykonawcę w umowach z podwykonawcami zabezpieczenia  należytego wykonania umowy w postaci zatrzymania </w:t>
      </w:r>
      <w:r w:rsidRPr="005E1E3C">
        <w:rPr>
          <w:sz w:val="24"/>
          <w:szCs w:val="24"/>
        </w:rPr>
        <w:lastRenderedPageBreak/>
        <w:t>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71210B">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EE6CB2">
        <w:rPr>
          <w:sz w:val="24"/>
          <w:szCs w:val="24"/>
        </w:rPr>
        <w:t xml:space="preserve"> </w:t>
      </w:r>
      <w:r w:rsidRPr="005E1E3C">
        <w:rPr>
          <w:sz w:val="24"/>
          <w:szCs w:val="24"/>
        </w:rPr>
        <w:t xml:space="preserve">do </w:t>
      </w:r>
      <w:r w:rsidR="00A228F4">
        <w:rPr>
          <w:sz w:val="24"/>
          <w:szCs w:val="24"/>
        </w:rPr>
        <w:t>4</w:t>
      </w:r>
      <w:r w:rsidR="004F198D">
        <w:rPr>
          <w:sz w:val="24"/>
          <w:szCs w:val="24"/>
        </w:rPr>
        <w:t>0</w:t>
      </w:r>
      <w:r w:rsidRPr="005E1E3C">
        <w:rPr>
          <w:sz w:val="24"/>
          <w:szCs w:val="24"/>
        </w:rPr>
        <w:t xml:space="preserve"> dni od </w:t>
      </w:r>
      <w:r w:rsidR="00A228F4">
        <w:rPr>
          <w:sz w:val="24"/>
          <w:szCs w:val="24"/>
        </w:rPr>
        <w:t>dnia podpisania</w:t>
      </w:r>
      <w:r w:rsidRPr="005E1E3C">
        <w:rPr>
          <w:sz w:val="24"/>
          <w:szCs w:val="24"/>
        </w:rPr>
        <w:t xml:space="preserve">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71210B">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lastRenderedPageBreak/>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71210B">
      <w:pPr>
        <w:pStyle w:val="Bezodstpw"/>
        <w:numPr>
          <w:ilvl w:val="0"/>
          <w:numId w:val="10"/>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71210B">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powykonaw</w:t>
      </w:r>
      <w:r w:rsidRPr="005E1E3C">
        <w:rPr>
          <w:sz w:val="24"/>
          <w:szCs w:val="24"/>
        </w:rPr>
        <w:t>czej na odbiór końcowy zadania.</w:t>
      </w:r>
    </w:p>
    <w:p w:rsidR="00A228F4" w:rsidRDefault="00C9302F" w:rsidP="0071210B">
      <w:pPr>
        <w:pStyle w:val="Bezodstpw"/>
        <w:numPr>
          <w:ilvl w:val="0"/>
          <w:numId w:val="10"/>
        </w:numPr>
        <w:spacing w:line="276" w:lineRule="auto"/>
        <w:jc w:val="both"/>
        <w:rPr>
          <w:sz w:val="24"/>
          <w:szCs w:val="24"/>
        </w:rPr>
      </w:pPr>
      <w:r w:rsidRPr="00A228F4">
        <w:rPr>
          <w:sz w:val="24"/>
          <w:szCs w:val="24"/>
        </w:rPr>
        <w:t>U</w:t>
      </w:r>
      <w:r w:rsidR="00A228F4">
        <w:rPr>
          <w:sz w:val="24"/>
          <w:szCs w:val="24"/>
        </w:rPr>
        <w:t>stanowienie kierownika budowy.</w:t>
      </w:r>
    </w:p>
    <w:p w:rsidR="00EE0442" w:rsidRPr="005E1E3C" w:rsidRDefault="00EE0442" w:rsidP="0071210B">
      <w:pPr>
        <w:pStyle w:val="Bezodstpw"/>
        <w:numPr>
          <w:ilvl w:val="0"/>
          <w:numId w:val="10"/>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lastRenderedPageBreak/>
        <w:t>Wykonawca jest zobowiązany stosować się do wszystkich poleceń i instrukcji inspektora nadzoru, dotyczących prawidłowości wykonywania przedmiotu zamówienia.</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71210B">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rsidR="003221A7" w:rsidRPr="005E1E3C" w:rsidRDefault="00EE0442" w:rsidP="0071210B">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W przypadku powierzenia przez Wykonawcę części robót podwykonawcom, których przedmiotem są roboty budowlane oraz podwykonawcom, którzy zawarli przedłożone Zamawiającemu umowy o podwykonawstwo, których przedmiotem są </w:t>
      </w:r>
      <w:r w:rsidRPr="005E1E3C">
        <w:rPr>
          <w:sz w:val="24"/>
          <w:szCs w:val="24"/>
        </w:rPr>
        <w:lastRenderedPageBreak/>
        <w:t>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w:t>
      </w:r>
      <w:r w:rsidR="00A977C5" w:rsidRPr="005E1E3C">
        <w:rPr>
          <w:sz w:val="24"/>
          <w:szCs w:val="24"/>
        </w:rPr>
        <w:lastRenderedPageBreak/>
        <w:t>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71210B">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71210B">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w:t>
      </w:r>
      <w:r w:rsidRPr="005E1E3C">
        <w:rPr>
          <w:sz w:val="24"/>
          <w:szCs w:val="24"/>
        </w:rPr>
        <w:lastRenderedPageBreak/>
        <w:t>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w:t>
      </w:r>
      <w:r w:rsidR="00A228F4">
        <w:rPr>
          <w:sz w:val="24"/>
          <w:szCs w:val="24"/>
        </w:rPr>
        <w:t xml:space="preserve"> </w:t>
      </w:r>
      <w:r w:rsidRPr="005E1E3C">
        <w:rPr>
          <w:sz w:val="24"/>
          <w:szCs w:val="24"/>
        </w:rPr>
        <w:t>uniemożliwiające użytkowanie albo wady istotne, z tym że:</w:t>
      </w:r>
    </w:p>
    <w:p w:rsidR="00EE0442" w:rsidRPr="005E1E3C" w:rsidRDefault="00EE0442" w:rsidP="0071210B">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jakimikolwiek postanowieniami umowy, których naprawienie trwałoby dłużej niż 14 dni lub wymagałoby wykonywania robót uniemożliwiających korzystanie z obiektu lub jego części;  </w:t>
      </w:r>
    </w:p>
    <w:p w:rsidR="00EE0442" w:rsidRPr="005E1E3C" w:rsidRDefault="00EE0442" w:rsidP="0071210B">
      <w:pPr>
        <w:pStyle w:val="Bezodstpw"/>
        <w:numPr>
          <w:ilvl w:val="0"/>
          <w:numId w:val="15"/>
        </w:numPr>
        <w:spacing w:line="276" w:lineRule="auto"/>
        <w:jc w:val="both"/>
        <w:rPr>
          <w:sz w:val="24"/>
          <w:szCs w:val="24"/>
        </w:rPr>
      </w:pPr>
      <w:r w:rsidRPr="005E1E3C">
        <w:rPr>
          <w:sz w:val="24"/>
          <w:szCs w:val="24"/>
        </w:rPr>
        <w:t xml:space="preserve">stwierdzenie wad uniemożliwiających użytkowanie albo wad istotnych w trakcie odbioru uznane będzie za niewykonanie przedmiotu umowy w </w:t>
      </w:r>
      <w:r w:rsidRPr="005E1E3C">
        <w:rPr>
          <w:sz w:val="24"/>
          <w:szCs w:val="24"/>
        </w:rPr>
        <w:lastRenderedPageBreak/>
        <w:t>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71210B">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71210B">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A228F4"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A228F4">
        <w:rPr>
          <w:sz w:val="24"/>
          <w:szCs w:val="24"/>
        </w:rPr>
        <w:t>w terminie nie dłuższym niż 14 dni, lub</w:t>
      </w:r>
    </w:p>
    <w:p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w:t>
      </w:r>
      <w:r w:rsidR="00A228F4">
        <w:rPr>
          <w:sz w:val="24"/>
          <w:szCs w:val="24"/>
        </w:rPr>
        <w:t xml:space="preserve"> </w:t>
      </w:r>
      <w:r w:rsidRPr="005E1E3C">
        <w:rPr>
          <w:sz w:val="24"/>
          <w:szCs w:val="24"/>
        </w:rPr>
        <w:t>się do usunięcia, lub</w:t>
      </w:r>
    </w:p>
    <w:p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lastRenderedPageBreak/>
        <w:t xml:space="preserve">Za protokół końcowy bezusterkowy uznaje się: </w:t>
      </w:r>
    </w:p>
    <w:p w:rsidR="00EE0442" w:rsidRPr="005E1E3C" w:rsidRDefault="002931E7" w:rsidP="0071210B">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71210B">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 xml:space="preserve">a nadto, w ramach uprawnień z rękojmi, złożyć oświadczenie o obniżeniu wynagrodzenia albo o odstąpieniu od umowy lub jej części. Jeżeli Zamawiający żądał </w:t>
      </w:r>
      <w:r w:rsidRPr="005E1E3C">
        <w:rPr>
          <w:sz w:val="24"/>
          <w:szCs w:val="24"/>
        </w:rPr>
        <w:lastRenderedPageBreak/>
        <w:t>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71210B">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71210B">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71210B">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71210B">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lastRenderedPageBreak/>
        <w:t>nieusunięcie wad niezaliczonych do wad uniemożliwiających użytkowanie w terminie 14 dni lub w dłuższym technicznie uzasadnionym terminie wyznaczonym przez Zamawiającego od ich wskazania w trakcie odbioru końcowego przez Komisję Odbior</w:t>
      </w:r>
      <w:r w:rsidR="00185218">
        <w:rPr>
          <w:sz w:val="24"/>
          <w:szCs w:val="24"/>
        </w:rPr>
        <w:t>ową</w:t>
      </w:r>
      <w:r w:rsidRPr="004F198D">
        <w:rPr>
          <w:sz w:val="24"/>
          <w:szCs w:val="24"/>
        </w:rPr>
        <w:t xml:space="preserve">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185218">
        <w:rPr>
          <w:sz w:val="24"/>
          <w:szCs w:val="24"/>
        </w:rPr>
        <w:t>10</w:t>
      </w:r>
      <w:r w:rsidRPr="004F198D">
        <w:rPr>
          <w:sz w:val="24"/>
          <w:szCs w:val="24"/>
        </w:rPr>
        <w:t xml:space="preserve"> %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71210B">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71210B">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71210B">
      <w:pPr>
        <w:pStyle w:val="Bezodstpw"/>
        <w:numPr>
          <w:ilvl w:val="0"/>
          <w:numId w:val="22"/>
        </w:numPr>
        <w:spacing w:line="276" w:lineRule="auto"/>
        <w:jc w:val="both"/>
        <w:rPr>
          <w:sz w:val="24"/>
          <w:szCs w:val="24"/>
        </w:rPr>
      </w:pPr>
      <w:r w:rsidRPr="004F198D">
        <w:rPr>
          <w:sz w:val="24"/>
          <w:szCs w:val="24"/>
        </w:rPr>
        <w:t>Ponadto, w przypadku, gdy z przedłożonej Zamawiającemu przez Wykonawcę lub podwykonawcę kopii umowy o podwykonawstwo (lub aneksu), której przedmiotem będą dostawy lub usługi wynikać będzie termin zapłaty wynagrodzenia dłuższy niż 30 dni od dostarczenia wykonawcy</w:t>
      </w:r>
      <w:r w:rsidR="00185218">
        <w:rPr>
          <w:sz w:val="24"/>
          <w:szCs w:val="24"/>
        </w:rPr>
        <w:t xml:space="preserve"> </w:t>
      </w:r>
      <w:r w:rsidRPr="004F198D">
        <w:rPr>
          <w:sz w:val="24"/>
          <w:szCs w:val="24"/>
        </w:rPr>
        <w:t xml:space="preserve">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71210B">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71210B">
      <w:pPr>
        <w:pStyle w:val="Bezodstpw"/>
        <w:numPr>
          <w:ilvl w:val="0"/>
          <w:numId w:val="22"/>
        </w:numPr>
        <w:spacing w:line="276" w:lineRule="auto"/>
        <w:jc w:val="both"/>
        <w:rPr>
          <w:sz w:val="24"/>
          <w:szCs w:val="24"/>
        </w:rPr>
      </w:pPr>
      <w:r w:rsidRPr="004F198D">
        <w:rPr>
          <w:sz w:val="24"/>
          <w:szCs w:val="24"/>
        </w:rPr>
        <w:lastRenderedPageBreak/>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71210B">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przerwał realizację robót bez uzasadnienia i przerwa trwa dłużej niż </w:t>
      </w:r>
      <w:r w:rsidR="00185218">
        <w:rPr>
          <w:sz w:val="24"/>
          <w:szCs w:val="24"/>
        </w:rPr>
        <w:t>14 dni</w:t>
      </w:r>
      <w:r w:rsidRPr="005E1E3C">
        <w:rPr>
          <w:sz w:val="24"/>
          <w:szCs w:val="24"/>
        </w:rPr>
        <w:t xml:space="preserve"> pomimo wezwania Zamawiającego złożonego na piśmie,</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w:t>
      </w:r>
      <w:r w:rsidRPr="005E1E3C">
        <w:rPr>
          <w:sz w:val="24"/>
          <w:szCs w:val="24"/>
        </w:rPr>
        <w:lastRenderedPageBreak/>
        <w:t xml:space="preserve">osobistego wykonania odpowiedniej części zamówienia po uprzednim wykazaniu odpowiednich zdolności. </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71210B">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71210B">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71210B">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71210B">
      <w:pPr>
        <w:pStyle w:val="Bezodstpw"/>
        <w:numPr>
          <w:ilvl w:val="0"/>
          <w:numId w:val="24"/>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lit. b,c,d,e,f,g,h i i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15</w:t>
      </w:r>
    </w:p>
    <w:p w:rsidR="00EE0442" w:rsidRPr="005E1E3C" w:rsidRDefault="00EE0442" w:rsidP="0071210B">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71210B">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71210B">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rsidR="00EE0442" w:rsidRPr="005E1E3C" w:rsidRDefault="00EE0442" w:rsidP="0071210B">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71210B">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71210B">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w:t>
      </w:r>
      <w:r w:rsidR="00185218">
        <w:rPr>
          <w:sz w:val="24"/>
          <w:szCs w:val="24"/>
        </w:rPr>
        <w:t xml:space="preserve">nych w opisie przedmiotu umowy </w:t>
      </w:r>
      <w:r w:rsidRPr="005E1E3C">
        <w:rPr>
          <w:sz w:val="24"/>
          <w:szCs w:val="24"/>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840B87"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sidR="00185218">
        <w:rPr>
          <w:sz w:val="24"/>
          <w:szCs w:val="24"/>
        </w:rPr>
        <w:t xml:space="preserve"> </w:t>
      </w:r>
    </w:p>
    <w:p w:rsidR="00185218" w:rsidRDefault="00EE0442" w:rsidP="0071210B">
      <w:pPr>
        <w:pStyle w:val="Bezodstpw"/>
        <w:numPr>
          <w:ilvl w:val="0"/>
          <w:numId w:val="43"/>
        </w:numPr>
        <w:spacing w:line="276" w:lineRule="auto"/>
        <w:jc w:val="both"/>
        <w:rPr>
          <w:sz w:val="24"/>
          <w:szCs w:val="24"/>
        </w:rPr>
      </w:pPr>
      <w:r w:rsidRPr="00185218">
        <w:rPr>
          <w:sz w:val="24"/>
          <w:szCs w:val="24"/>
        </w:rPr>
        <w:t>wystąpieniem warunków atmosferycznych, geologicznych, archeologicznych, terenowych</w:t>
      </w:r>
      <w:r w:rsidR="00FA4276" w:rsidRPr="00185218">
        <w:rPr>
          <w:sz w:val="24"/>
          <w:szCs w:val="24"/>
        </w:rPr>
        <w:t xml:space="preserve">, </w:t>
      </w:r>
      <w:r w:rsidRPr="00185218">
        <w:rPr>
          <w:sz w:val="24"/>
          <w:szCs w:val="24"/>
        </w:rPr>
        <w:t>w szczególności:</w:t>
      </w:r>
    </w:p>
    <w:p w:rsidR="00185218" w:rsidRDefault="00EE0442" w:rsidP="0071210B">
      <w:pPr>
        <w:pStyle w:val="Bezodstpw"/>
        <w:numPr>
          <w:ilvl w:val="0"/>
          <w:numId w:val="44"/>
        </w:numPr>
        <w:spacing w:line="276" w:lineRule="auto"/>
        <w:jc w:val="both"/>
        <w:rPr>
          <w:sz w:val="24"/>
          <w:szCs w:val="24"/>
        </w:rPr>
      </w:pPr>
      <w:r w:rsidRPr="00185218">
        <w:rPr>
          <w:sz w:val="24"/>
          <w:szCs w:val="24"/>
        </w:rPr>
        <w:t>klęsk żywiołowych;</w:t>
      </w:r>
    </w:p>
    <w:p w:rsidR="00185218" w:rsidRDefault="00EE0442" w:rsidP="0071210B">
      <w:pPr>
        <w:pStyle w:val="Bezodstpw"/>
        <w:numPr>
          <w:ilvl w:val="0"/>
          <w:numId w:val="44"/>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rsidR="00185218" w:rsidRDefault="00EE0442" w:rsidP="0071210B">
      <w:pPr>
        <w:pStyle w:val="Bezodstpw"/>
        <w:numPr>
          <w:ilvl w:val="0"/>
          <w:numId w:val="44"/>
        </w:numPr>
        <w:spacing w:line="276" w:lineRule="auto"/>
        <w:jc w:val="both"/>
        <w:rPr>
          <w:sz w:val="24"/>
          <w:szCs w:val="24"/>
        </w:rPr>
      </w:pPr>
      <w:r w:rsidRPr="00185218">
        <w:rPr>
          <w:sz w:val="24"/>
          <w:szCs w:val="24"/>
        </w:rPr>
        <w:t>niewypałów i niewybuchów;</w:t>
      </w:r>
    </w:p>
    <w:p w:rsidR="00185218" w:rsidRDefault="00EE0442" w:rsidP="0071210B">
      <w:pPr>
        <w:pStyle w:val="Bezodstpw"/>
        <w:numPr>
          <w:ilvl w:val="0"/>
          <w:numId w:val="44"/>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r w:rsidR="006F4A2B" w:rsidRPr="00185218">
        <w:rPr>
          <w:sz w:val="24"/>
          <w:szCs w:val="24"/>
        </w:rPr>
        <w:t>,</w:t>
      </w:r>
    </w:p>
    <w:p w:rsidR="00840B87" w:rsidRDefault="00EE0442" w:rsidP="0071210B">
      <w:pPr>
        <w:pStyle w:val="Bezodstpw"/>
        <w:numPr>
          <w:ilvl w:val="0"/>
          <w:numId w:val="42"/>
        </w:numPr>
        <w:spacing w:line="276" w:lineRule="auto"/>
        <w:jc w:val="both"/>
        <w:rPr>
          <w:sz w:val="24"/>
          <w:szCs w:val="24"/>
        </w:rPr>
      </w:pPr>
      <w:r w:rsidRPr="00185218">
        <w:rPr>
          <w:sz w:val="24"/>
          <w:szCs w:val="24"/>
        </w:rPr>
        <w:lastRenderedPageBreak/>
        <w:t>wystąpieniem następstw działania organów administracji, które w szczególności dotyczyć będą:</w:t>
      </w:r>
    </w:p>
    <w:p w:rsidR="00840B87" w:rsidRDefault="00EE0442" w:rsidP="0071210B">
      <w:pPr>
        <w:pStyle w:val="Bezodstpw"/>
        <w:numPr>
          <w:ilvl w:val="0"/>
          <w:numId w:val="45"/>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EE0442" w:rsidRPr="005E1E3C" w:rsidRDefault="00EE0442" w:rsidP="0071210B">
      <w:pPr>
        <w:pStyle w:val="Bezodstpw"/>
        <w:numPr>
          <w:ilvl w:val="0"/>
          <w:numId w:val="45"/>
        </w:numPr>
        <w:spacing w:line="276" w:lineRule="auto"/>
        <w:jc w:val="both"/>
        <w:rPr>
          <w:sz w:val="24"/>
          <w:szCs w:val="24"/>
        </w:rPr>
      </w:pPr>
      <w:r w:rsidRPr="005E1E3C">
        <w:rPr>
          <w:sz w:val="24"/>
          <w:szCs w:val="24"/>
        </w:rPr>
        <w:t>odmowy wydania przez organy administracji wymaganych decyzji, zezwoleń, uzgodnień</w:t>
      </w:r>
      <w:r w:rsidR="00840B87">
        <w:rPr>
          <w:sz w:val="24"/>
          <w:szCs w:val="24"/>
        </w:rPr>
        <w:t>;</w:t>
      </w:r>
    </w:p>
    <w:p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organizacyjno-technicznych, w</w:t>
      </w:r>
      <w:r w:rsidR="00840B87">
        <w:rPr>
          <w:sz w:val="24"/>
          <w:szCs w:val="24"/>
        </w:rPr>
        <w:t xml:space="preserve"> </w:t>
      </w:r>
      <w:r w:rsidRPr="005E1E3C">
        <w:rPr>
          <w:sz w:val="24"/>
          <w:szCs w:val="24"/>
        </w:rPr>
        <w:t>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EE0442" w:rsidRP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sidR="00840B87">
        <w:rPr>
          <w:sz w:val="24"/>
          <w:szCs w:val="24"/>
        </w:rPr>
        <w:t xml:space="preserve"> </w:t>
      </w:r>
      <w:r w:rsidRPr="00840B87">
        <w:rPr>
          <w:sz w:val="24"/>
          <w:szCs w:val="24"/>
        </w:rPr>
        <w:t>brak możliwości dojazdu oraz transportu materiałów na teren budowy spowodowany awariami, remontami</w:t>
      </w:r>
      <w:r w:rsidR="00840B87" w:rsidRPr="00840B87">
        <w:rPr>
          <w:sz w:val="24"/>
          <w:szCs w:val="24"/>
        </w:rPr>
        <w:t xml:space="preserve"> </w:t>
      </w:r>
      <w:r w:rsidRPr="00840B87">
        <w:rPr>
          <w:sz w:val="24"/>
          <w:szCs w:val="24"/>
        </w:rPr>
        <w:t xml:space="preserve">lub przebudowami dróg dojazdowych, przerwy w dostawie energii elektrycznej, wody, gazu, przerwy lub opóźnienia w dostawie materiałów lub urządzeń dedykowanych do wykonania przedmiotu umowy; </w:t>
      </w:r>
    </w:p>
    <w:p w:rsid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rsidR="00840B87" w:rsidRDefault="00EE0442" w:rsidP="0071210B">
      <w:pPr>
        <w:pStyle w:val="Bezodstpw"/>
        <w:numPr>
          <w:ilvl w:val="0"/>
          <w:numId w:val="46"/>
        </w:numPr>
        <w:spacing w:line="276" w:lineRule="auto"/>
        <w:jc w:val="both"/>
        <w:rPr>
          <w:sz w:val="24"/>
          <w:szCs w:val="24"/>
        </w:rPr>
      </w:pPr>
      <w:r w:rsidRPr="005E1E3C">
        <w:rPr>
          <w:sz w:val="24"/>
          <w:szCs w:val="24"/>
        </w:rPr>
        <w:t>nieterminowego przekazania terenu budowy przez Zamawiającego;</w:t>
      </w:r>
    </w:p>
    <w:p w:rsidR="00840B87" w:rsidRDefault="00EE0442" w:rsidP="0071210B">
      <w:pPr>
        <w:pStyle w:val="Bezodstpw"/>
        <w:numPr>
          <w:ilvl w:val="0"/>
          <w:numId w:val="46"/>
        </w:numPr>
        <w:spacing w:line="276" w:lineRule="auto"/>
        <w:jc w:val="both"/>
        <w:rPr>
          <w:sz w:val="24"/>
          <w:szCs w:val="24"/>
        </w:rPr>
      </w:pPr>
      <w:r w:rsidRPr="005E1E3C">
        <w:rPr>
          <w:sz w:val="24"/>
          <w:szCs w:val="24"/>
        </w:rPr>
        <w:t>wstrzymania robót przez Zamawiającego;</w:t>
      </w:r>
    </w:p>
    <w:p w:rsidR="00840B87" w:rsidRDefault="00EE0442" w:rsidP="0071210B">
      <w:pPr>
        <w:pStyle w:val="Bezodstpw"/>
        <w:numPr>
          <w:ilvl w:val="0"/>
          <w:numId w:val="46"/>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rsidR="00EE0442" w:rsidRPr="00185218" w:rsidRDefault="00771695" w:rsidP="00840B87">
      <w:pPr>
        <w:pStyle w:val="Bezodstpw"/>
        <w:spacing w:line="276" w:lineRule="auto"/>
        <w:ind w:left="2160"/>
        <w:jc w:val="both"/>
        <w:rPr>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71210B">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71210B">
      <w:pPr>
        <w:pStyle w:val="Bezodstpw"/>
        <w:numPr>
          <w:ilvl w:val="0"/>
          <w:numId w:val="31"/>
        </w:numPr>
        <w:spacing w:line="276" w:lineRule="auto"/>
        <w:jc w:val="both"/>
        <w:rPr>
          <w:sz w:val="24"/>
          <w:szCs w:val="24"/>
        </w:rPr>
      </w:pPr>
      <w:r w:rsidRPr="005E1E3C">
        <w:rPr>
          <w:sz w:val="24"/>
          <w:szCs w:val="24"/>
        </w:rPr>
        <w:lastRenderedPageBreak/>
        <w:t>zmiana o której mowa w pkt. 2 – wynagrodzenie może ulec obniżeniu/zwiększeniu</w:t>
      </w:r>
      <w:r w:rsidR="00F31751">
        <w:rPr>
          <w:sz w:val="24"/>
          <w:szCs w:val="24"/>
        </w:rPr>
        <w:t xml:space="preserve"> </w:t>
      </w:r>
      <w:r w:rsidRPr="005E1E3C">
        <w:rPr>
          <w:sz w:val="24"/>
          <w:szCs w:val="24"/>
        </w:rPr>
        <w:t>stosownie do zmniejszenia/zwiększenia przedmiotu umowy.</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71210B">
      <w:pPr>
        <w:pStyle w:val="Bezodstpw"/>
        <w:numPr>
          <w:ilvl w:val="0"/>
          <w:numId w:val="32"/>
        </w:numPr>
        <w:spacing w:line="276" w:lineRule="auto"/>
        <w:jc w:val="both"/>
        <w:rPr>
          <w:sz w:val="24"/>
          <w:szCs w:val="24"/>
        </w:rPr>
      </w:pPr>
      <w:r w:rsidRPr="005E1E3C">
        <w:rPr>
          <w:sz w:val="24"/>
          <w:szCs w:val="24"/>
        </w:rPr>
        <w:t>opis propozycji zmiany, w tym wpływ na terminy wykonania,</w:t>
      </w:r>
    </w:p>
    <w:p w:rsidR="00EE0442" w:rsidRPr="005E1E3C" w:rsidRDefault="00EE0442" w:rsidP="0071210B">
      <w:pPr>
        <w:pStyle w:val="Bezodstpw"/>
        <w:numPr>
          <w:ilvl w:val="0"/>
          <w:numId w:val="32"/>
        </w:numPr>
        <w:spacing w:line="276" w:lineRule="auto"/>
        <w:jc w:val="both"/>
        <w:rPr>
          <w:sz w:val="24"/>
          <w:szCs w:val="24"/>
        </w:rPr>
      </w:pPr>
      <w:r w:rsidRPr="005E1E3C">
        <w:rPr>
          <w:sz w:val="24"/>
          <w:szCs w:val="24"/>
        </w:rPr>
        <w:t>uzasadnienie zmiany,</w:t>
      </w:r>
    </w:p>
    <w:p w:rsidR="00EE0442" w:rsidRPr="005E1E3C" w:rsidRDefault="00EE0442" w:rsidP="0071210B">
      <w:pPr>
        <w:pStyle w:val="Bezodstpw"/>
        <w:numPr>
          <w:ilvl w:val="0"/>
          <w:numId w:val="32"/>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 xml:space="preserve">Wszelkie zmiany i uzupełnienia niniejszej umowy, stanowiących integralną część umowy dla swojej ważności wymagają </w:t>
      </w:r>
      <w:r w:rsidR="00F31751">
        <w:rPr>
          <w:sz w:val="24"/>
          <w:szCs w:val="24"/>
        </w:rPr>
        <w:t>formy pisemnej</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F31751" w:rsidRDefault="00EE0442" w:rsidP="00EE0442">
      <w:pPr>
        <w:pStyle w:val="Bezodstpw"/>
        <w:spacing w:line="276" w:lineRule="auto"/>
        <w:rPr>
          <w:b/>
          <w:sz w:val="24"/>
          <w:szCs w:val="24"/>
        </w:rPr>
      </w:pPr>
    </w:p>
    <w:p w:rsidR="00EE0442" w:rsidRPr="00F31751" w:rsidRDefault="00EE0442" w:rsidP="00EE0442">
      <w:pPr>
        <w:pStyle w:val="Bezodstpw"/>
        <w:spacing w:line="276" w:lineRule="auto"/>
        <w:rPr>
          <w:b/>
          <w:sz w:val="24"/>
          <w:szCs w:val="24"/>
        </w:rPr>
      </w:pPr>
      <w:r w:rsidRPr="00F31751">
        <w:rPr>
          <w:b/>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F31751" w:rsidRPr="00F31751" w:rsidRDefault="00F31751" w:rsidP="00F31751">
      <w:pPr>
        <w:jc w:val="center"/>
        <w:rPr>
          <w:rFonts w:asciiTheme="minorHAnsi" w:hAnsiTheme="minorHAnsi" w:cstheme="minorHAnsi"/>
          <w:b/>
          <w:sz w:val="24"/>
        </w:rPr>
      </w:pPr>
      <w:r w:rsidRPr="00F31751">
        <w:rPr>
          <w:rFonts w:asciiTheme="minorHAnsi" w:hAnsiTheme="minorHAnsi" w:cstheme="minorHAnsi"/>
          <w:b/>
          <w:sz w:val="24"/>
        </w:rPr>
        <w:t xml:space="preserve">„Remont chodnika w miejscowości Mała Nieszawka i Wielka Nieszawka” </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0305BE" w:rsidRDefault="00744E3F" w:rsidP="0029671E">
            <w:pPr>
              <w:jc w:val="center"/>
              <w:rPr>
                <w:rFonts w:ascii="Calibri" w:hAnsi="Calibri" w:cs="Calibri"/>
                <w:sz w:val="24"/>
                <w:szCs w:val="24"/>
              </w:rPr>
            </w:pPr>
            <w:r w:rsidRPr="000305BE">
              <w:rPr>
                <w:rFonts w:ascii="Calibri" w:hAnsi="Calibri" w:cs="Calibri"/>
                <w:sz w:val="24"/>
                <w:szCs w:val="24"/>
              </w:rPr>
              <w:t>1</w:t>
            </w:r>
          </w:p>
        </w:tc>
        <w:tc>
          <w:tcPr>
            <w:tcW w:w="6729" w:type="dxa"/>
            <w:vAlign w:val="center"/>
          </w:tcPr>
          <w:p w:rsidR="00744E3F" w:rsidRPr="000305BE" w:rsidRDefault="00744E3F" w:rsidP="0029671E">
            <w:pPr>
              <w:pStyle w:val="Tekstpodstawowywcity311"/>
              <w:ind w:left="0"/>
              <w:rPr>
                <w:rFonts w:ascii="Calibri" w:hAnsi="Calibri" w:cs="Calibri"/>
                <w:bCs/>
              </w:rPr>
            </w:pPr>
            <w:r w:rsidRPr="000305BE">
              <w:rPr>
                <w:rFonts w:ascii="Calibri" w:hAnsi="Calibri" w:cs="Calibri"/>
                <w:bCs/>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0305BE" w:rsidRDefault="00744E3F" w:rsidP="0029671E">
            <w:pPr>
              <w:jc w:val="center"/>
              <w:rPr>
                <w:rFonts w:ascii="Calibri" w:hAnsi="Calibri" w:cs="Calibri"/>
                <w:sz w:val="24"/>
                <w:szCs w:val="24"/>
              </w:rPr>
            </w:pPr>
            <w:r w:rsidRPr="000305BE">
              <w:rPr>
                <w:rFonts w:ascii="Calibri" w:hAnsi="Calibri" w:cs="Calibri"/>
                <w:sz w:val="24"/>
                <w:szCs w:val="24"/>
              </w:rPr>
              <w:t>2.</w:t>
            </w:r>
          </w:p>
        </w:tc>
        <w:tc>
          <w:tcPr>
            <w:tcW w:w="6729" w:type="dxa"/>
            <w:tcBorders>
              <w:left w:val="single" w:sz="4" w:space="0" w:color="auto"/>
              <w:bottom w:val="single" w:sz="4" w:space="0" w:color="auto"/>
            </w:tcBorders>
            <w:vAlign w:val="center"/>
          </w:tcPr>
          <w:p w:rsidR="00744E3F" w:rsidRPr="000305BE" w:rsidRDefault="000305BE" w:rsidP="0029671E">
            <w:pPr>
              <w:autoSpaceDE w:val="0"/>
              <w:jc w:val="both"/>
              <w:rPr>
                <w:rFonts w:ascii="Calibri" w:hAnsi="Calibri" w:cs="Calibri"/>
                <w:bCs/>
                <w:sz w:val="24"/>
                <w:szCs w:val="24"/>
                <w:shd w:val="clear" w:color="auto" w:fill="FFFFFF"/>
              </w:rPr>
            </w:pPr>
            <w:r w:rsidRPr="000305BE">
              <w:rPr>
                <w:rFonts w:ascii="Calibri" w:hAnsi="Calibri" w:cs="Calibri"/>
                <w:bCs/>
                <w:sz w:val="24"/>
                <w:szCs w:val="24"/>
                <w:shd w:val="clear" w:color="auto" w:fill="FFFFFF"/>
              </w:rPr>
              <w:t>Roboty rozbiórkowe</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0305BE" w:rsidRDefault="00744E3F" w:rsidP="0029671E">
            <w:pPr>
              <w:jc w:val="center"/>
              <w:rPr>
                <w:rFonts w:ascii="Calibri" w:hAnsi="Calibri" w:cs="Calibri"/>
                <w:sz w:val="24"/>
                <w:szCs w:val="24"/>
              </w:rPr>
            </w:pPr>
            <w:r w:rsidRPr="000305BE">
              <w:rPr>
                <w:rFonts w:ascii="Calibri" w:hAnsi="Calibri" w:cs="Calibri"/>
                <w:sz w:val="24"/>
                <w:szCs w:val="24"/>
              </w:rPr>
              <w:t>3.</w:t>
            </w:r>
          </w:p>
        </w:tc>
        <w:tc>
          <w:tcPr>
            <w:tcW w:w="6729" w:type="dxa"/>
            <w:tcBorders>
              <w:left w:val="single" w:sz="4" w:space="0" w:color="auto"/>
              <w:bottom w:val="single" w:sz="4" w:space="0" w:color="auto"/>
            </w:tcBorders>
            <w:vAlign w:val="center"/>
          </w:tcPr>
          <w:p w:rsidR="00744E3F" w:rsidRPr="000305BE" w:rsidRDefault="000305BE" w:rsidP="0029671E">
            <w:pPr>
              <w:autoSpaceDE w:val="0"/>
              <w:jc w:val="both"/>
              <w:rPr>
                <w:rFonts w:ascii="Calibri" w:hAnsi="Calibri" w:cs="Calibri"/>
                <w:bCs/>
                <w:sz w:val="24"/>
                <w:szCs w:val="24"/>
                <w:shd w:val="clear" w:color="auto" w:fill="FFFFFF"/>
              </w:rPr>
            </w:pPr>
            <w:r w:rsidRPr="000305BE">
              <w:rPr>
                <w:rFonts w:ascii="Calibri" w:hAnsi="Calibri" w:cs="Calibri"/>
                <w:bCs/>
                <w:sz w:val="24"/>
                <w:szCs w:val="24"/>
                <w:shd w:val="clear" w:color="auto" w:fill="FFFFFF"/>
              </w:rPr>
              <w:t>Podbudowa</w:t>
            </w:r>
          </w:p>
        </w:tc>
        <w:tc>
          <w:tcPr>
            <w:tcW w:w="1696" w:type="dxa"/>
            <w:vAlign w:val="center"/>
          </w:tcPr>
          <w:p w:rsidR="00744E3F" w:rsidRPr="005E1E3C" w:rsidRDefault="00744E3F" w:rsidP="0029671E">
            <w:pPr>
              <w:jc w:val="center"/>
              <w:rPr>
                <w:rFonts w:ascii="Calibri" w:hAnsi="Calibri" w:cs="Calibri"/>
                <w:szCs w:val="22"/>
              </w:rPr>
            </w:pPr>
          </w:p>
        </w:tc>
      </w:tr>
      <w:tr w:rsidR="000305BE" w:rsidRPr="005E1E3C" w:rsidTr="00744E3F">
        <w:trPr>
          <w:trHeight w:val="567"/>
        </w:trPr>
        <w:tc>
          <w:tcPr>
            <w:tcW w:w="637" w:type="dxa"/>
            <w:tcBorders>
              <w:left w:val="single" w:sz="4" w:space="0" w:color="auto"/>
              <w:bottom w:val="single" w:sz="4" w:space="0" w:color="auto"/>
              <w:right w:val="single" w:sz="4" w:space="0" w:color="auto"/>
            </w:tcBorders>
            <w:vAlign w:val="center"/>
          </w:tcPr>
          <w:p w:rsidR="000305BE" w:rsidRPr="000305BE" w:rsidRDefault="000305BE" w:rsidP="0029671E">
            <w:pPr>
              <w:jc w:val="center"/>
              <w:rPr>
                <w:rFonts w:ascii="Calibri" w:hAnsi="Calibri" w:cs="Calibri"/>
                <w:sz w:val="24"/>
                <w:szCs w:val="24"/>
              </w:rPr>
            </w:pPr>
            <w:r w:rsidRPr="000305BE">
              <w:rPr>
                <w:rFonts w:ascii="Calibri" w:hAnsi="Calibri" w:cs="Calibri"/>
                <w:sz w:val="24"/>
                <w:szCs w:val="24"/>
              </w:rPr>
              <w:t>4.</w:t>
            </w:r>
          </w:p>
        </w:tc>
        <w:tc>
          <w:tcPr>
            <w:tcW w:w="6729" w:type="dxa"/>
            <w:tcBorders>
              <w:left w:val="single" w:sz="4" w:space="0" w:color="auto"/>
              <w:bottom w:val="single" w:sz="4" w:space="0" w:color="auto"/>
            </w:tcBorders>
            <w:vAlign w:val="center"/>
          </w:tcPr>
          <w:p w:rsidR="000305BE" w:rsidRPr="000305BE" w:rsidRDefault="000305BE" w:rsidP="0029671E">
            <w:pPr>
              <w:autoSpaceDE w:val="0"/>
              <w:jc w:val="both"/>
              <w:rPr>
                <w:rFonts w:ascii="Calibri" w:hAnsi="Calibri" w:cs="Calibri"/>
                <w:bCs/>
                <w:sz w:val="24"/>
                <w:szCs w:val="24"/>
                <w:shd w:val="clear" w:color="auto" w:fill="FFFFFF"/>
              </w:rPr>
            </w:pPr>
            <w:r w:rsidRPr="000305BE">
              <w:rPr>
                <w:rFonts w:ascii="Calibri" w:hAnsi="Calibri" w:cs="Calibri"/>
                <w:bCs/>
                <w:sz w:val="24"/>
                <w:szCs w:val="24"/>
                <w:shd w:val="clear" w:color="auto" w:fill="FFFFFF"/>
              </w:rPr>
              <w:t>Ułożenie chodni</w:t>
            </w:r>
            <w:r>
              <w:rPr>
                <w:rFonts w:ascii="Calibri" w:hAnsi="Calibri" w:cs="Calibri"/>
                <w:bCs/>
                <w:sz w:val="24"/>
                <w:szCs w:val="24"/>
                <w:shd w:val="clear" w:color="auto" w:fill="FFFFFF"/>
              </w:rPr>
              <w:t>k</w:t>
            </w:r>
            <w:r w:rsidRPr="000305BE">
              <w:rPr>
                <w:rFonts w:ascii="Calibri" w:hAnsi="Calibri" w:cs="Calibri"/>
                <w:bCs/>
                <w:sz w:val="24"/>
                <w:szCs w:val="24"/>
                <w:shd w:val="clear" w:color="auto" w:fill="FFFFFF"/>
              </w:rPr>
              <w:t>a</w:t>
            </w:r>
          </w:p>
        </w:tc>
        <w:tc>
          <w:tcPr>
            <w:tcW w:w="1696" w:type="dxa"/>
            <w:vAlign w:val="center"/>
          </w:tcPr>
          <w:p w:rsidR="000305BE" w:rsidRPr="005E1E3C" w:rsidRDefault="000305BE"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71210B">
            <w:pPr>
              <w:widowControl w:val="0"/>
              <w:numPr>
                <w:ilvl w:val="0"/>
                <w:numId w:val="3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71210B">
      <w:pPr>
        <w:widowControl w:val="0"/>
        <w:numPr>
          <w:ilvl w:val="0"/>
          <w:numId w:val="3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71210B">
      <w:pPr>
        <w:pStyle w:val="Akapitzlist"/>
        <w:numPr>
          <w:ilvl w:val="1"/>
          <w:numId w:val="34"/>
        </w:numPr>
        <w:spacing w:after="0"/>
        <w:jc w:val="both"/>
        <w:rPr>
          <w:bCs/>
        </w:rPr>
      </w:pPr>
      <w:r w:rsidRPr="005E1E3C">
        <w:rPr>
          <w:bCs/>
        </w:rPr>
        <w:t>wycofają zgodę na przetwarzanie danych osobowych,</w:t>
      </w:r>
    </w:p>
    <w:p w:rsidR="00835054" w:rsidRPr="005E1E3C" w:rsidRDefault="00835054" w:rsidP="0071210B">
      <w:pPr>
        <w:pStyle w:val="Akapitzlist"/>
        <w:numPr>
          <w:ilvl w:val="1"/>
          <w:numId w:val="34"/>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71210B">
      <w:pPr>
        <w:widowControl w:val="0"/>
        <w:numPr>
          <w:ilvl w:val="0"/>
          <w:numId w:val="3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71210B">
      <w:pPr>
        <w:widowControl w:val="0"/>
        <w:numPr>
          <w:ilvl w:val="0"/>
          <w:numId w:val="3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rsidR="000305BE" w:rsidRDefault="000305BE" w:rsidP="00835054">
      <w:pPr>
        <w:spacing w:line="276" w:lineRule="auto"/>
        <w:jc w:val="both"/>
        <w:rPr>
          <w:rFonts w:ascii="Calibri" w:eastAsia="Calibri" w:hAnsi="Calibri"/>
          <w:bCs/>
          <w:lang w:eastAsia="en-US"/>
        </w:rPr>
      </w:pPr>
    </w:p>
    <w:p w:rsidR="000305BE" w:rsidRPr="00F31751" w:rsidRDefault="000305BE" w:rsidP="000305BE">
      <w:pPr>
        <w:pStyle w:val="Bezodstpw"/>
        <w:spacing w:line="276" w:lineRule="auto"/>
        <w:rPr>
          <w:b/>
          <w:sz w:val="24"/>
          <w:szCs w:val="24"/>
        </w:rPr>
      </w:pPr>
      <w:r w:rsidRPr="00F31751">
        <w:rPr>
          <w:b/>
          <w:sz w:val="24"/>
          <w:szCs w:val="24"/>
        </w:rPr>
        <w:t xml:space="preserve">      Zamawiający                                                                                               Wykonawca</w:t>
      </w:r>
    </w:p>
    <w:p w:rsidR="000305BE" w:rsidRPr="005E1E3C" w:rsidRDefault="000305BE" w:rsidP="00835054">
      <w:pPr>
        <w:spacing w:line="276" w:lineRule="auto"/>
        <w:jc w:val="both"/>
        <w:rPr>
          <w:rFonts w:ascii="Calibri" w:eastAsia="Calibri" w:hAnsi="Calibri"/>
          <w:bCs/>
          <w:lang w:eastAsia="en-US"/>
        </w:rPr>
      </w:pPr>
    </w:p>
    <w:sectPr w:rsidR="000305BE"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EF" w:rsidRDefault="009C1AEF" w:rsidP="002B6E3C">
      <w:r>
        <w:separator/>
      </w:r>
    </w:p>
  </w:endnote>
  <w:endnote w:type="continuationSeparator" w:id="0">
    <w:p w:rsidR="009C1AEF" w:rsidRDefault="009C1AEF"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7C6022" w:rsidRPr="004A57B7">
              <w:rPr>
                <w:sz w:val="20"/>
                <w:szCs w:val="20"/>
              </w:rPr>
              <w:fldChar w:fldCharType="begin"/>
            </w:r>
            <w:r w:rsidRPr="004A57B7">
              <w:rPr>
                <w:sz w:val="20"/>
                <w:szCs w:val="20"/>
              </w:rPr>
              <w:instrText>PAGE</w:instrText>
            </w:r>
            <w:r w:rsidR="007C6022" w:rsidRPr="004A57B7">
              <w:rPr>
                <w:sz w:val="20"/>
                <w:szCs w:val="20"/>
              </w:rPr>
              <w:fldChar w:fldCharType="separate"/>
            </w:r>
            <w:r w:rsidR="005D0850">
              <w:rPr>
                <w:noProof/>
                <w:sz w:val="20"/>
                <w:szCs w:val="20"/>
              </w:rPr>
              <w:t>1</w:t>
            </w:r>
            <w:r w:rsidR="007C6022" w:rsidRPr="004A57B7">
              <w:rPr>
                <w:sz w:val="20"/>
                <w:szCs w:val="20"/>
              </w:rPr>
              <w:fldChar w:fldCharType="end"/>
            </w:r>
            <w:r w:rsidRPr="004A57B7">
              <w:rPr>
                <w:sz w:val="20"/>
                <w:szCs w:val="20"/>
              </w:rPr>
              <w:t xml:space="preserve"> z </w:t>
            </w:r>
            <w:r w:rsidR="007C6022" w:rsidRPr="004A57B7">
              <w:rPr>
                <w:sz w:val="20"/>
                <w:szCs w:val="20"/>
              </w:rPr>
              <w:fldChar w:fldCharType="begin"/>
            </w:r>
            <w:r w:rsidRPr="004A57B7">
              <w:rPr>
                <w:sz w:val="20"/>
                <w:szCs w:val="20"/>
              </w:rPr>
              <w:instrText>NUMPAGES</w:instrText>
            </w:r>
            <w:r w:rsidR="007C6022" w:rsidRPr="004A57B7">
              <w:rPr>
                <w:sz w:val="20"/>
                <w:szCs w:val="20"/>
              </w:rPr>
              <w:fldChar w:fldCharType="separate"/>
            </w:r>
            <w:r w:rsidR="005D0850">
              <w:rPr>
                <w:noProof/>
                <w:sz w:val="20"/>
                <w:szCs w:val="20"/>
              </w:rPr>
              <w:t>25</w:t>
            </w:r>
            <w:r w:rsidR="007C6022"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EF" w:rsidRDefault="009C1AEF" w:rsidP="002B6E3C">
      <w:r>
        <w:separator/>
      </w:r>
    </w:p>
  </w:footnote>
  <w:footnote w:type="continuationSeparator" w:id="0">
    <w:p w:rsidR="009C1AEF" w:rsidRDefault="009C1AEF"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Pr="005D0850" w:rsidRDefault="005D0850" w:rsidP="005D0850">
    <w:pPr>
      <w:pStyle w:val="Nagwek"/>
      <w:tabs>
        <w:tab w:val="clear" w:pos="4536"/>
      </w:tabs>
      <w:jc w:val="center"/>
      <w:rPr>
        <w:rFonts w:ascii="Calibri" w:hAnsi="Calibri" w:cs="Calibri"/>
        <w:u w:val="single"/>
      </w:rPr>
    </w:pPr>
    <w:r w:rsidRPr="00D673D3">
      <w:rPr>
        <w:noProof/>
        <w:u w:val="single"/>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w:t>
    </w:r>
    <w:r>
      <w:rPr>
        <w:rFonts w:ascii="Calibri" w:hAnsi="Calibri" w:cs="Calibri"/>
        <w:u w:val="single"/>
      </w:rPr>
      <w:t>_</w:t>
    </w:r>
    <w:r w:rsidRPr="00041DE8">
      <w:rPr>
        <w:rFonts w:ascii="Calibri" w:hAnsi="Calibri" w:cs="Calibri"/>
        <w:u w:val="single"/>
      </w:rPr>
      <w:t>______</w:t>
    </w:r>
    <w:r>
      <w:rPr>
        <w:rFonts w:ascii="Calibri" w:hAnsi="Calibri" w:cs="Calibri"/>
        <w:u w:val="single"/>
      </w:rPr>
      <w:t>_____</w:t>
    </w:r>
    <w:r w:rsidRPr="00041DE8">
      <w:rPr>
        <w:rFonts w:ascii="Calibri" w:hAnsi="Calibri" w:cs="Calibri"/>
        <w:u w:val="single"/>
      </w:rPr>
      <w:t>________</w:t>
    </w:r>
    <w:r>
      <w:rPr>
        <w:rFonts w:ascii="Calibri" w:hAnsi="Calibri" w:cs="Calibri"/>
        <w:u w:val="single"/>
      </w:rPr>
      <w:t>________</w:t>
    </w:r>
    <w:r w:rsidRPr="00041DE8">
      <w:rPr>
        <w:rFonts w:ascii="Calibri" w:hAnsi="Calibri" w:cs="Calibri"/>
        <w:u w:val="single"/>
      </w:rPr>
      <w:t>____</w:t>
    </w:r>
    <w:r w:rsidRPr="00A97181">
      <w:rPr>
        <w:rFonts w:ascii="Calibri" w:hAnsi="Calibri" w:cs="Calibri"/>
        <w:u w:val="single"/>
      </w:rPr>
      <w:t>Znak sprawy: RIT.271.2</w:t>
    </w:r>
    <w:r>
      <w:rPr>
        <w:rFonts w:ascii="Calibri" w:hAnsi="Calibri" w:cs="Calibri"/>
        <w:u w:val="single"/>
      </w:rPr>
      <w:t>.3</w:t>
    </w:r>
    <w:r w:rsidRPr="00A97181">
      <w:rPr>
        <w:rFonts w:ascii="Calibri" w:hAnsi="Calibri" w:cs="Calibri"/>
        <w:u w:val="single"/>
      </w:rPr>
      <w:t>.202</w:t>
    </w:r>
    <w:r>
      <w:rPr>
        <w:rFonts w:ascii="Calibri" w:hAnsi="Calibri" w:cs="Calibri"/>
        <w:u w:val="single"/>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5A113B"/>
    <w:multiLevelType w:val="hybridMultilevel"/>
    <w:tmpl w:val="D2A804B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7">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5">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9">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2"/>
  </w:num>
  <w:num w:numId="2">
    <w:abstractNumId w:val="19"/>
  </w:num>
  <w:num w:numId="3">
    <w:abstractNumId w:val="14"/>
  </w:num>
  <w:num w:numId="4">
    <w:abstractNumId w:val="32"/>
  </w:num>
  <w:num w:numId="5">
    <w:abstractNumId w:val="25"/>
  </w:num>
  <w:num w:numId="6">
    <w:abstractNumId w:val="22"/>
  </w:num>
  <w:num w:numId="7">
    <w:abstractNumId w:val="37"/>
  </w:num>
  <w:num w:numId="8">
    <w:abstractNumId w:val="4"/>
  </w:num>
  <w:num w:numId="9">
    <w:abstractNumId w:val="15"/>
  </w:num>
  <w:num w:numId="10">
    <w:abstractNumId w:val="28"/>
  </w:num>
  <w:num w:numId="11">
    <w:abstractNumId w:val="11"/>
  </w:num>
  <w:num w:numId="12">
    <w:abstractNumId w:val="30"/>
  </w:num>
  <w:num w:numId="13">
    <w:abstractNumId w:val="6"/>
  </w:num>
  <w:num w:numId="14">
    <w:abstractNumId w:val="3"/>
  </w:num>
  <w:num w:numId="15">
    <w:abstractNumId w:val="17"/>
  </w:num>
  <w:num w:numId="16">
    <w:abstractNumId w:val="9"/>
  </w:num>
  <w:num w:numId="17">
    <w:abstractNumId w:val="10"/>
  </w:num>
  <w:num w:numId="18">
    <w:abstractNumId w:val="40"/>
  </w:num>
  <w:num w:numId="19">
    <w:abstractNumId w:val="2"/>
  </w:num>
  <w:num w:numId="20">
    <w:abstractNumId w:val="41"/>
  </w:num>
  <w:num w:numId="21">
    <w:abstractNumId w:val="20"/>
  </w:num>
  <w:num w:numId="22">
    <w:abstractNumId w:val="8"/>
  </w:num>
  <w:num w:numId="23">
    <w:abstractNumId w:val="44"/>
  </w:num>
  <w:num w:numId="24">
    <w:abstractNumId w:val="23"/>
  </w:num>
  <w:num w:numId="25">
    <w:abstractNumId w:val="43"/>
  </w:num>
  <w:num w:numId="26">
    <w:abstractNumId w:val="46"/>
  </w:num>
  <w:num w:numId="27">
    <w:abstractNumId w:val="1"/>
  </w:num>
  <w:num w:numId="28">
    <w:abstractNumId w:val="13"/>
  </w:num>
  <w:num w:numId="29">
    <w:abstractNumId w:val="29"/>
  </w:num>
  <w:num w:numId="30">
    <w:abstractNumId w:val="33"/>
  </w:num>
  <w:num w:numId="31">
    <w:abstractNumId w:val="35"/>
  </w:num>
  <w:num w:numId="32">
    <w:abstractNumId w:val="31"/>
  </w:num>
  <w:num w:numId="33">
    <w:abstractNumId w:val="26"/>
  </w:num>
  <w:num w:numId="34">
    <w:abstractNumId w:val="34"/>
  </w:num>
  <w:num w:numId="35">
    <w:abstractNumId w:val="21"/>
  </w:num>
  <w:num w:numId="36">
    <w:abstractNumId w:val="38"/>
  </w:num>
  <w:num w:numId="37">
    <w:abstractNumId w:val="7"/>
  </w:num>
  <w:num w:numId="38">
    <w:abstractNumId w:val="24"/>
  </w:num>
  <w:num w:numId="39">
    <w:abstractNumId w:val="18"/>
  </w:num>
  <w:num w:numId="40">
    <w:abstractNumId w:val="5"/>
  </w:num>
  <w:num w:numId="41">
    <w:abstractNumId w:val="12"/>
  </w:num>
  <w:num w:numId="42">
    <w:abstractNumId w:val="36"/>
  </w:num>
  <w:num w:numId="43">
    <w:abstractNumId w:val="45"/>
  </w:num>
  <w:num w:numId="44">
    <w:abstractNumId w:val="47"/>
  </w:num>
  <w:num w:numId="45">
    <w:abstractNumId w:val="27"/>
  </w:num>
  <w:num w:numId="46">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305BE"/>
    <w:rsid w:val="000405C7"/>
    <w:rsid w:val="00052A69"/>
    <w:rsid w:val="00073F11"/>
    <w:rsid w:val="00086739"/>
    <w:rsid w:val="00094EF0"/>
    <w:rsid w:val="000F5670"/>
    <w:rsid w:val="00117829"/>
    <w:rsid w:val="00135EEF"/>
    <w:rsid w:val="0013643B"/>
    <w:rsid w:val="00151535"/>
    <w:rsid w:val="00181A8B"/>
    <w:rsid w:val="00185218"/>
    <w:rsid w:val="001870BE"/>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D0850"/>
    <w:rsid w:val="005E1E3C"/>
    <w:rsid w:val="005F5F5E"/>
    <w:rsid w:val="0061763B"/>
    <w:rsid w:val="006B7701"/>
    <w:rsid w:val="006E49D1"/>
    <w:rsid w:val="006F4A2B"/>
    <w:rsid w:val="00702825"/>
    <w:rsid w:val="0071210B"/>
    <w:rsid w:val="0072788E"/>
    <w:rsid w:val="00733159"/>
    <w:rsid w:val="00744E3F"/>
    <w:rsid w:val="007454F2"/>
    <w:rsid w:val="00750E0B"/>
    <w:rsid w:val="007533D6"/>
    <w:rsid w:val="007600AA"/>
    <w:rsid w:val="007605AC"/>
    <w:rsid w:val="00771695"/>
    <w:rsid w:val="00776F58"/>
    <w:rsid w:val="007B12FE"/>
    <w:rsid w:val="007C448E"/>
    <w:rsid w:val="007C48E1"/>
    <w:rsid w:val="007C6022"/>
    <w:rsid w:val="007F0930"/>
    <w:rsid w:val="007F4047"/>
    <w:rsid w:val="008037E4"/>
    <w:rsid w:val="00807271"/>
    <w:rsid w:val="00830C8D"/>
    <w:rsid w:val="00835054"/>
    <w:rsid w:val="00836EF6"/>
    <w:rsid w:val="00840B87"/>
    <w:rsid w:val="00861D53"/>
    <w:rsid w:val="00865B84"/>
    <w:rsid w:val="008868EB"/>
    <w:rsid w:val="008870C8"/>
    <w:rsid w:val="009034FC"/>
    <w:rsid w:val="00906365"/>
    <w:rsid w:val="00926B85"/>
    <w:rsid w:val="00960016"/>
    <w:rsid w:val="009A5E3E"/>
    <w:rsid w:val="009B0630"/>
    <w:rsid w:val="009B1D6F"/>
    <w:rsid w:val="009C1AEF"/>
    <w:rsid w:val="009F3AAA"/>
    <w:rsid w:val="00A04547"/>
    <w:rsid w:val="00A228F4"/>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E0F4C"/>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D4EA2"/>
    <w:rsid w:val="00CE3E7F"/>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1AFB"/>
    <w:rsid w:val="00EA3F45"/>
    <w:rsid w:val="00EC1836"/>
    <w:rsid w:val="00EC27A9"/>
    <w:rsid w:val="00EC6E64"/>
    <w:rsid w:val="00EE0442"/>
    <w:rsid w:val="00EE6CB2"/>
    <w:rsid w:val="00F04D48"/>
    <w:rsid w:val="00F061B1"/>
    <w:rsid w:val="00F07470"/>
    <w:rsid w:val="00F165C5"/>
    <w:rsid w:val="00F31751"/>
    <w:rsid w:val="00F33C72"/>
    <w:rsid w:val="00F44C7F"/>
    <w:rsid w:val="00F5297D"/>
    <w:rsid w:val="00F60C44"/>
    <w:rsid w:val="00F71FF0"/>
    <w:rsid w:val="00FA4276"/>
    <w:rsid w:val="00FE5F41"/>
    <w:rsid w:val="00FF3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B731-7414-4FF7-992F-923F9D6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8587</Words>
  <Characters>51528</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cp:lastPrinted>2022-08-25T12:17:00Z</cp:lastPrinted>
  <dcterms:created xsi:type="dcterms:W3CDTF">2023-02-05T13:26:00Z</dcterms:created>
  <dcterms:modified xsi:type="dcterms:W3CDTF">2023-02-05T14:06:00Z</dcterms:modified>
</cp:coreProperties>
</file>