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2AA515E3"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486B6A" w:rsidRPr="00486B6A">
        <w:rPr>
          <w:rFonts w:ascii="Calibri" w:hAnsi="Calibri" w:cs="Calibri"/>
          <w:b/>
          <w:bCs/>
          <w:color w:val="000000" w:themeColor="text1"/>
        </w:rPr>
        <w:t>23</w:t>
      </w:r>
      <w:r w:rsidR="00E7082B" w:rsidRPr="00486B6A">
        <w:rPr>
          <w:rFonts w:ascii="Calibri" w:hAnsi="Calibri" w:cs="Calibri"/>
          <w:b/>
          <w:bCs/>
          <w:color w:val="000000" w:themeColor="text1"/>
        </w:rPr>
        <w:t>.</w:t>
      </w:r>
      <w:r w:rsidR="00E7082B">
        <w:rPr>
          <w:rFonts w:ascii="Calibri" w:hAnsi="Calibri" w:cs="Calibri"/>
          <w:b/>
          <w:bCs/>
          <w:color w:val="000000" w:themeColor="text1"/>
        </w:rPr>
        <w:t>09</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23BC7C6F"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486B6A">
        <w:rPr>
          <w:rFonts w:ascii="Calibri" w:hAnsi="Calibri" w:cs="Calibri"/>
          <w:b/>
          <w:bCs/>
          <w:color w:val="000000" w:themeColor="text1"/>
        </w:rPr>
        <w:t>23</w:t>
      </w:r>
      <w:r w:rsidR="00E7082B">
        <w:rPr>
          <w:rFonts w:ascii="Calibri" w:hAnsi="Calibri" w:cs="Calibri"/>
          <w:b/>
          <w:bCs/>
          <w:color w:val="000000" w:themeColor="text1"/>
        </w:rPr>
        <w:t>.09</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11BA8138"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 xml:space="preserve">Wykonawca pozostaje związany ofertą do dnia  </w:t>
      </w:r>
      <w:r w:rsidR="00486B6A">
        <w:rPr>
          <w:rFonts w:ascii="Calibri" w:hAnsi="Calibri" w:cs="Calibri"/>
          <w:b/>
          <w:bCs/>
          <w:color w:val="000000" w:themeColor="text1"/>
        </w:rPr>
        <w:t>23</w:t>
      </w:r>
      <w:r w:rsidR="00E7082B" w:rsidRPr="00E025E9">
        <w:rPr>
          <w:rFonts w:ascii="Calibri" w:hAnsi="Calibri" w:cs="Calibri"/>
          <w:b/>
          <w:bCs/>
          <w:color w:val="000000" w:themeColor="text1"/>
        </w:rPr>
        <w:t>.10</w:t>
      </w:r>
      <w:r w:rsidR="004150CE" w:rsidRPr="00E025E9">
        <w:rPr>
          <w:rFonts w:ascii="Calibri" w:hAnsi="Calibri" w:cs="Calibri"/>
          <w:b/>
          <w:bCs/>
          <w:color w:val="000000" w:themeColor="text1"/>
        </w:rPr>
        <w:t>.</w:t>
      </w:r>
      <w:r w:rsidRPr="00E025E9">
        <w:rPr>
          <w:rFonts w:ascii="Calibri" w:hAnsi="Calibri" w:cs="Calibri"/>
          <w:b/>
          <w:bCs/>
          <w:color w:val="000000" w:themeColor="text1"/>
        </w:rPr>
        <w:t>202</w:t>
      </w:r>
      <w:r w:rsidR="00826C23" w:rsidRPr="00E025E9">
        <w:rPr>
          <w:rFonts w:ascii="Calibri" w:hAnsi="Calibri" w:cs="Calibri"/>
          <w:b/>
          <w:bCs/>
          <w:color w:val="000000" w:themeColor="text1"/>
        </w:rPr>
        <w:t>2</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Program </w:t>
      </w:r>
      <w:proofErr w:type="spellStart"/>
      <w:r w:rsidRPr="000B265C">
        <w:rPr>
          <w:rFonts w:ascii="Calibri" w:hAnsi="Calibri" w:cs="Calibri"/>
          <w:i/>
          <w:iCs/>
          <w:color w:val="000000" w:themeColor="text1"/>
        </w:rPr>
        <w:t>Funkcjonalno</w:t>
      </w:r>
      <w:proofErr w:type="spellEnd"/>
      <w:r w:rsidRPr="000B265C">
        <w:rPr>
          <w:rFonts w:ascii="Calibri" w:hAnsi="Calibri" w:cs="Calibri"/>
          <w:i/>
          <w:iCs/>
          <w:color w:val="000000" w:themeColor="text1"/>
        </w:rPr>
        <w:t xml:space="preserve">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 xml:space="preserve">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odstąpienia od realizacji Umowy sporządzenie inwentaryzacji nie będzie </w:t>
      </w:r>
      <w:r w:rsidRPr="00C01773">
        <w:rPr>
          <w:rFonts w:ascii="Calibri" w:eastAsia="Calibri" w:hAnsi="Calibri"/>
          <w:color w:val="000000" w:themeColor="text1"/>
          <w:lang w:eastAsia="en-US"/>
        </w:rPr>
        <w:lastRenderedPageBreak/>
        <w:t>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lastRenderedPageBreak/>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w:t>
      </w:r>
      <w:r w:rsidRPr="00BD0A62">
        <w:rPr>
          <w:color w:val="000000" w:themeColor="text1"/>
        </w:rPr>
        <w:lastRenderedPageBreak/>
        <w:t>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w:t>
      </w:r>
      <w:r w:rsidRPr="00D7224F">
        <w:rPr>
          <w:rFonts w:ascii="Calibri" w:eastAsia="Calibri" w:hAnsi="Calibri"/>
          <w:color w:val="000000" w:themeColor="text1"/>
          <w:lang w:eastAsia="en-US"/>
        </w:rPr>
        <w:lastRenderedPageBreak/>
        <w:t xml:space="preserve">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w:t>
      </w:r>
      <w:r w:rsidRPr="00BD0A62">
        <w:rPr>
          <w:rFonts w:ascii="Calibri" w:eastAsia="Calibri" w:hAnsi="Calibri"/>
          <w:color w:val="000000" w:themeColor="text1"/>
          <w:lang w:eastAsia="en-US"/>
        </w:rPr>
        <w:lastRenderedPageBreak/>
        <w:t>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xml:space="preserve">: zmniejszenia podaży jakichkolwiek materiałów lub urządzeń koniecznych do realizacji przedmiotu umowy, trudności </w:t>
      </w:r>
      <w:r w:rsidRPr="00BD0A62">
        <w:rPr>
          <w:rFonts w:ascii="Calibri" w:eastAsia="Calibri" w:hAnsi="Calibri"/>
          <w:color w:val="000000" w:themeColor="text1"/>
          <w:lang w:eastAsia="en-US"/>
        </w:rPr>
        <w:lastRenderedPageBreak/>
        <w:t>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sytuacji nieprzewidzianej i niezawinionej przez Strony, której wystąpienia </w:t>
      </w:r>
      <w:r w:rsidRPr="00BD0A62">
        <w:rPr>
          <w:rFonts w:ascii="Calibri" w:eastAsia="Calibri" w:hAnsi="Calibri"/>
          <w:color w:val="000000" w:themeColor="text1"/>
          <w:lang w:eastAsia="en-US"/>
        </w:rPr>
        <w:lastRenderedPageBreak/>
        <w:t>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t>
      </w:r>
      <w:r w:rsidRPr="00BD0A62">
        <w:rPr>
          <w:rFonts w:ascii="Calibri" w:eastAsia="Calibri" w:hAnsi="Calibri"/>
          <w:color w:val="000000" w:themeColor="text1"/>
          <w:lang w:eastAsia="en-US"/>
        </w:rPr>
        <w:lastRenderedPageBreak/>
        <w:t>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 xml:space="preserve">a w przypadku ich braku według cen udokumentowanych i uzgodnionych z </w:t>
      </w:r>
      <w:r w:rsidRPr="00BD0A62">
        <w:rPr>
          <w:rFonts w:ascii="Calibri" w:eastAsia="Calibri" w:hAnsi="Calibri"/>
          <w:color w:val="000000" w:themeColor="text1"/>
          <w:lang w:eastAsia="en-US"/>
        </w:rPr>
        <w:lastRenderedPageBreak/>
        <w:t>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w:t>
      </w:r>
      <w:r w:rsidRPr="00BD0A62">
        <w:rPr>
          <w:rFonts w:ascii="Calibri" w:eastAsia="Calibri" w:hAnsi="Calibri"/>
          <w:bCs/>
          <w:color w:val="000000" w:themeColor="text1"/>
          <w:lang w:eastAsia="en-US"/>
        </w:rPr>
        <w:lastRenderedPageBreak/>
        <w:t xml:space="preserve">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Zabezpieczeniem objęty jest cały okres realizacji Umowy oraz okres rękojmi. Ma    ono </w:t>
      </w:r>
      <w:r w:rsidRPr="00BD0A62">
        <w:rPr>
          <w:rFonts w:ascii="Calibri" w:eastAsia="Calibri" w:hAnsi="Calibri"/>
          <w:color w:val="000000" w:themeColor="text1"/>
          <w:lang w:eastAsia="en-US"/>
        </w:rPr>
        <w:lastRenderedPageBreak/>
        <w:t>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nie może przenieść wierzytelności wynikającej z niniejszej Umowy </w:t>
      </w:r>
      <w:r w:rsidRPr="00BD0A62">
        <w:rPr>
          <w:rFonts w:ascii="Calibri" w:eastAsia="Calibri" w:hAnsi="Calibri"/>
          <w:color w:val="000000" w:themeColor="text1"/>
          <w:lang w:eastAsia="en-US"/>
        </w:rPr>
        <w:lastRenderedPageBreak/>
        <w:t>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CEC5" w14:textId="77777777" w:rsidR="00B04F90" w:rsidRDefault="00B04F90">
      <w:r>
        <w:separator/>
      </w:r>
    </w:p>
  </w:endnote>
  <w:endnote w:type="continuationSeparator" w:id="0">
    <w:p w14:paraId="2C75BE2E" w14:textId="77777777" w:rsidR="00B04F90" w:rsidRDefault="00B0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D1A5" w14:textId="77777777" w:rsidR="00B04F90" w:rsidRDefault="00B04F90">
      <w:r>
        <w:separator/>
      </w:r>
    </w:p>
  </w:footnote>
  <w:footnote w:type="continuationSeparator" w:id="0">
    <w:p w14:paraId="3A04123C" w14:textId="77777777" w:rsidR="00B04F90" w:rsidRDefault="00B04F90">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4663"/>
    <w:rsid w:val="00046387"/>
    <w:rsid w:val="00046619"/>
    <w:rsid w:val="000476F8"/>
    <w:rsid w:val="00047FB8"/>
    <w:rsid w:val="00053EB9"/>
    <w:rsid w:val="00057338"/>
    <w:rsid w:val="00060203"/>
    <w:rsid w:val="0006071E"/>
    <w:rsid w:val="000612AA"/>
    <w:rsid w:val="00064E93"/>
    <w:rsid w:val="0007003D"/>
    <w:rsid w:val="0007222F"/>
    <w:rsid w:val="00074308"/>
    <w:rsid w:val="00083384"/>
    <w:rsid w:val="00085888"/>
    <w:rsid w:val="00085A20"/>
    <w:rsid w:val="00087807"/>
    <w:rsid w:val="000921AB"/>
    <w:rsid w:val="00094B85"/>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7FCD"/>
    <w:rsid w:val="0037074A"/>
    <w:rsid w:val="003722B3"/>
    <w:rsid w:val="00375A93"/>
    <w:rsid w:val="003772F6"/>
    <w:rsid w:val="00377EC7"/>
    <w:rsid w:val="003836B5"/>
    <w:rsid w:val="003929BC"/>
    <w:rsid w:val="003A1EC4"/>
    <w:rsid w:val="003A37C9"/>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EE3"/>
    <w:rsid w:val="00464351"/>
    <w:rsid w:val="00467763"/>
    <w:rsid w:val="004722A4"/>
    <w:rsid w:val="00472561"/>
    <w:rsid w:val="00472BA0"/>
    <w:rsid w:val="00473CC0"/>
    <w:rsid w:val="004766DD"/>
    <w:rsid w:val="00481800"/>
    <w:rsid w:val="004825F7"/>
    <w:rsid w:val="0048326E"/>
    <w:rsid w:val="00486B6A"/>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14310"/>
    <w:rsid w:val="00814999"/>
    <w:rsid w:val="00815800"/>
    <w:rsid w:val="008209F8"/>
    <w:rsid w:val="008212A8"/>
    <w:rsid w:val="00822AFB"/>
    <w:rsid w:val="00824285"/>
    <w:rsid w:val="00825593"/>
    <w:rsid w:val="00826C23"/>
    <w:rsid w:val="008309FC"/>
    <w:rsid w:val="00836EB2"/>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28F9"/>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04F90"/>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21118</Words>
  <Characters>126713</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SBlach</cp:lastModifiedBy>
  <cp:revision>2</cp:revision>
  <cp:lastPrinted>2021-07-14T06:53:00Z</cp:lastPrinted>
  <dcterms:created xsi:type="dcterms:W3CDTF">2022-09-15T07:42:00Z</dcterms:created>
  <dcterms:modified xsi:type="dcterms:W3CDTF">2022-09-15T07:42:00Z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